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6C7C2" w14:textId="77777777" w:rsidR="00410625" w:rsidRDefault="00410625" w:rsidP="00410625">
      <w:pPr>
        <w:pStyle w:val="Sprechblasentext"/>
        <w:tabs>
          <w:tab w:val="left" w:pos="3514"/>
          <w:tab w:val="left" w:pos="6033"/>
        </w:tabs>
        <w:spacing w:line="360" w:lineRule="exact"/>
        <w:rPr>
          <w:rFonts w:ascii="Arial" w:hAnsi="Arial" w:cs="Arial"/>
          <w:sz w:val="18"/>
          <w:szCs w:val="18"/>
        </w:rPr>
      </w:pPr>
      <w:r>
        <w:rPr>
          <w:noProof/>
        </w:rPr>
        <w:drawing>
          <wp:anchor distT="0" distB="0" distL="114300" distR="114300" simplePos="0" relativeHeight="251659264" behindDoc="0" locked="0" layoutInCell="1" allowOverlap="1" wp14:anchorId="77913527" wp14:editId="587ACB81">
            <wp:simplePos x="0" y="0"/>
            <wp:positionH relativeFrom="page">
              <wp:posOffset>846455</wp:posOffset>
            </wp:positionH>
            <wp:positionV relativeFrom="paragraph">
              <wp:posOffset>-659765</wp:posOffset>
            </wp:positionV>
            <wp:extent cx="5676900" cy="682559"/>
            <wp:effectExtent l="0" t="0" r="0" b="3810"/>
            <wp:wrapNone/>
            <wp:docPr id="195513308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6900" cy="68255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1638">
        <w:rPr>
          <w:rFonts w:ascii="Arial" w:hAnsi="Arial" w:cs="Arial"/>
          <w:sz w:val="18"/>
          <w:szCs w:val="18"/>
        </w:rPr>
        <w:tab/>
        <w:t xml:space="preserve">                                 </w:t>
      </w:r>
    </w:p>
    <w:p w14:paraId="666ADF7F" w14:textId="56DA2A6D" w:rsidR="007B0CA7" w:rsidRPr="00410625" w:rsidRDefault="007B0CA7" w:rsidP="00410625">
      <w:pPr>
        <w:pStyle w:val="Sprechblasentext"/>
        <w:tabs>
          <w:tab w:val="left" w:pos="3514"/>
          <w:tab w:val="left" w:pos="6033"/>
        </w:tabs>
        <w:spacing w:line="360" w:lineRule="exact"/>
        <w:rPr>
          <w:rFonts w:ascii="Arial" w:hAnsi="Arial" w:cs="Arial"/>
          <w:sz w:val="22"/>
          <w:szCs w:val="22"/>
        </w:rPr>
      </w:pPr>
      <w:r>
        <w:rPr>
          <w:rFonts w:ascii="Arial" w:hAnsi="Arial" w:cs="Arial"/>
          <w:sz w:val="18"/>
          <w:szCs w:val="18"/>
        </w:rPr>
        <w:t>Februar</w:t>
      </w:r>
      <w:r w:rsidR="00A50725">
        <w:rPr>
          <w:rFonts w:ascii="Arial" w:hAnsi="Arial" w:cs="Arial"/>
          <w:sz w:val="18"/>
          <w:szCs w:val="18"/>
        </w:rPr>
        <w:t xml:space="preserve"> </w:t>
      </w:r>
      <w:r w:rsidR="00181638">
        <w:rPr>
          <w:rFonts w:ascii="Arial" w:hAnsi="Arial" w:cs="Arial"/>
          <w:sz w:val="18"/>
          <w:szCs w:val="18"/>
        </w:rPr>
        <w:t>202</w:t>
      </w:r>
      <w:r w:rsidR="001E45A4">
        <w:rPr>
          <w:rFonts w:ascii="Arial" w:hAnsi="Arial" w:cs="Arial"/>
          <w:sz w:val="18"/>
          <w:szCs w:val="18"/>
        </w:rPr>
        <w:t>6</w:t>
      </w:r>
      <w:r w:rsidR="00181638" w:rsidRPr="00465EB1">
        <w:rPr>
          <w:rFonts w:ascii="Arial" w:hAnsi="Arial" w:cs="Arial"/>
          <w:sz w:val="22"/>
          <w:szCs w:val="22"/>
        </w:rPr>
        <w:tab/>
      </w:r>
    </w:p>
    <w:p w14:paraId="657F1C8C" w14:textId="77777777" w:rsidR="007B0CA7" w:rsidRDefault="007B0CA7" w:rsidP="007B0CA7">
      <w:pPr>
        <w:rPr>
          <w:rFonts w:ascii="Arial" w:hAnsi="Arial" w:cs="Arial"/>
          <w:b/>
          <w:bCs/>
        </w:rPr>
      </w:pPr>
    </w:p>
    <w:p w14:paraId="13F3E49B" w14:textId="2D0CF77C" w:rsidR="007B0CA7" w:rsidRPr="007B0CA7" w:rsidRDefault="007B0CA7" w:rsidP="007B0CA7">
      <w:pPr>
        <w:rPr>
          <w:rFonts w:ascii="Arial" w:hAnsi="Arial" w:cs="Arial"/>
          <w:b/>
          <w:bCs/>
        </w:rPr>
      </w:pPr>
      <w:r w:rsidRPr="007B0CA7">
        <w:rPr>
          <w:rFonts w:ascii="Arial" w:hAnsi="Arial" w:cs="Arial"/>
          <w:b/>
          <w:bCs/>
        </w:rPr>
        <w:t>Kampmann, Hottgenroth und WILO geben Einblick in die Revitalisierung eines Bürogebäudes</w:t>
      </w:r>
    </w:p>
    <w:p w14:paraId="5ABBD7B0" w14:textId="77777777" w:rsidR="007B0CA7" w:rsidRPr="007B0CA7" w:rsidRDefault="007B0CA7" w:rsidP="007B0CA7">
      <w:pPr>
        <w:rPr>
          <w:rFonts w:ascii="Arial" w:hAnsi="Arial" w:cs="Arial"/>
        </w:rPr>
      </w:pPr>
    </w:p>
    <w:p w14:paraId="68F9B24E" w14:textId="2C858698" w:rsidR="007B0CA7" w:rsidRDefault="007B0CA7" w:rsidP="007B0CA7">
      <w:pPr>
        <w:rPr>
          <w:rFonts w:ascii="Arial" w:hAnsi="Arial" w:cs="Arial"/>
        </w:rPr>
      </w:pPr>
      <w:r w:rsidRPr="007B0CA7">
        <w:rPr>
          <w:rFonts w:ascii="Arial" w:hAnsi="Arial" w:cs="Arial"/>
          <w:b/>
          <w:bCs/>
        </w:rPr>
        <w:t>Lingen</w:t>
      </w:r>
      <w:r w:rsidRPr="007B0CA7">
        <w:rPr>
          <w:rFonts w:ascii="Arial" w:hAnsi="Arial" w:cs="Arial"/>
        </w:rPr>
        <w:t xml:space="preserve"> – Wie lassen sich Bestandsgebäude energetisch sinnvoll revitalisieren? Diese Frage beantworten Kampmann, Hottgenroth und WILO anhand eines real umgesetzten Projekts: der energetischen Sanierung der Unternehmenszentrale der Kampmann Group in Lingen. In einem gemeinsamen Praxis</w:t>
      </w:r>
      <w:r w:rsidR="001C37BA">
        <w:rPr>
          <w:rFonts w:ascii="Arial" w:hAnsi="Arial" w:cs="Arial"/>
        </w:rPr>
        <w:t>tag</w:t>
      </w:r>
      <w:r w:rsidRPr="007B0CA7">
        <w:rPr>
          <w:rFonts w:ascii="Arial" w:hAnsi="Arial" w:cs="Arial"/>
        </w:rPr>
        <w:t xml:space="preserve"> öffnen die drei Partner ihre Türen und geben einen detaillierten Einblick in Planung, Umsetzung und Betrieb der technischen Gebäudeausrüstung.</w:t>
      </w:r>
    </w:p>
    <w:p w14:paraId="38A882E0" w14:textId="77777777" w:rsidR="007B0CA7" w:rsidRPr="007B0CA7" w:rsidRDefault="007B0CA7" w:rsidP="007B0CA7">
      <w:pPr>
        <w:rPr>
          <w:rFonts w:ascii="Arial" w:hAnsi="Arial" w:cs="Arial"/>
        </w:rPr>
      </w:pPr>
    </w:p>
    <w:p w14:paraId="4E3A52F8" w14:textId="77777777" w:rsidR="007B0CA7" w:rsidRDefault="007B0CA7" w:rsidP="007B0CA7">
      <w:pPr>
        <w:rPr>
          <w:rFonts w:ascii="Arial" w:hAnsi="Arial" w:cs="Arial"/>
        </w:rPr>
      </w:pPr>
      <w:r w:rsidRPr="007B0CA7">
        <w:rPr>
          <w:rFonts w:ascii="Arial" w:hAnsi="Arial" w:cs="Arial"/>
        </w:rPr>
        <w:t>Im Fokus steht ein ganzheitlicher Sanierungsansatz: Alte Gasheizsysteme und Konvektoren wurden durch moderne Wärmepumpensysteme, effizient ausgelegte Heiz- und Kühllösungen, zeitgemäße Lüftungstechnik sowie intelligente Regelungs- und Beschattungskonzepte ersetzt. Alle Gewerke wurden partnerschaftlich geplant, berechnet, ausgelegt und umgesetzt – mit dem Ziel, Energieeffizienz, Komfort und Zukunftssicherheit miteinander zu verbinden.</w:t>
      </w:r>
    </w:p>
    <w:p w14:paraId="42CB2D41" w14:textId="77777777" w:rsidR="007B0CA7" w:rsidRPr="007B0CA7" w:rsidRDefault="007B0CA7" w:rsidP="007B0CA7">
      <w:pPr>
        <w:rPr>
          <w:rFonts w:ascii="Arial" w:hAnsi="Arial" w:cs="Arial"/>
        </w:rPr>
      </w:pPr>
    </w:p>
    <w:p w14:paraId="2E8DDEDE" w14:textId="77777777" w:rsidR="007B0CA7" w:rsidRDefault="007B0CA7" w:rsidP="007B0CA7">
      <w:pPr>
        <w:rPr>
          <w:rFonts w:ascii="Arial" w:hAnsi="Arial" w:cs="Arial"/>
        </w:rPr>
      </w:pPr>
      <w:r w:rsidRPr="007B0CA7">
        <w:rPr>
          <w:rFonts w:ascii="Arial" w:hAnsi="Arial" w:cs="Arial"/>
        </w:rPr>
        <w:t>„Gerade im Bestand zeigt sich, wie wichtig das Zusammenspiel aus fundierter Planung, zuverlässiger Technik und praxisnaher Umsetzung ist“, betonen die beteiligten Unternehmen. „In diesem Projekt konnten wir Lösungen nicht nur theoretisch entwickeln, sondern im realen Betrieb erproben und optimieren.“</w:t>
      </w:r>
    </w:p>
    <w:p w14:paraId="50C46C17" w14:textId="77777777" w:rsidR="007B0CA7" w:rsidRPr="007B0CA7" w:rsidRDefault="007B0CA7" w:rsidP="007B0CA7">
      <w:pPr>
        <w:rPr>
          <w:rFonts w:ascii="Arial" w:hAnsi="Arial" w:cs="Arial"/>
        </w:rPr>
      </w:pPr>
    </w:p>
    <w:p w14:paraId="13ABBE45" w14:textId="77777777" w:rsidR="007B0CA7" w:rsidRDefault="007B0CA7" w:rsidP="007B0CA7">
      <w:pPr>
        <w:rPr>
          <w:rFonts w:ascii="Arial" w:hAnsi="Arial" w:cs="Arial"/>
          <w:b/>
          <w:bCs/>
        </w:rPr>
      </w:pPr>
      <w:r w:rsidRPr="007B0CA7">
        <w:rPr>
          <w:rFonts w:ascii="Arial" w:hAnsi="Arial" w:cs="Arial"/>
          <w:b/>
          <w:bCs/>
        </w:rPr>
        <w:t>Persönlicher Einblick statt Datenblatt</w:t>
      </w:r>
    </w:p>
    <w:p w14:paraId="04F19BD1" w14:textId="77777777" w:rsidR="007B0CA7" w:rsidRPr="007B0CA7" w:rsidRDefault="007B0CA7" w:rsidP="007B0CA7">
      <w:pPr>
        <w:rPr>
          <w:rFonts w:ascii="Arial" w:hAnsi="Arial" w:cs="Arial"/>
          <w:b/>
          <w:bCs/>
        </w:rPr>
      </w:pPr>
    </w:p>
    <w:p w14:paraId="3EAF2BD1" w14:textId="77777777" w:rsidR="007B0CA7" w:rsidRDefault="007B0CA7" w:rsidP="007B0CA7">
      <w:pPr>
        <w:rPr>
          <w:rFonts w:ascii="Arial" w:hAnsi="Arial" w:cs="Arial"/>
        </w:rPr>
      </w:pPr>
      <w:r w:rsidRPr="007B0CA7">
        <w:rPr>
          <w:rFonts w:ascii="Arial" w:hAnsi="Arial" w:cs="Arial"/>
        </w:rPr>
        <w:t>Im Rahmen des Seminars erhalten Teilnehmerinnen und Teilnehmer einen direkten Zugang zur installierten Technik. Neben den planerischen Grundlagen werden auch konkrete Fragestellungen aus der Praxis behandelt – von Heiz- und Kühllastberechnungen mit der Software von Hottgenroth über Wärmepumpensysteme und Lüftungskonzepte bis hin zur übergreifenden Systemregelung und Konnektivität. Messwerte, Erfahrungen aus den Betrieben sowie typische Herausforderungen werden offen diskutiert.</w:t>
      </w:r>
    </w:p>
    <w:p w14:paraId="5C7380E3" w14:textId="77777777" w:rsidR="007B0CA7" w:rsidRPr="007B0CA7" w:rsidRDefault="007B0CA7" w:rsidP="007B0CA7">
      <w:pPr>
        <w:rPr>
          <w:rFonts w:ascii="Arial" w:hAnsi="Arial" w:cs="Arial"/>
        </w:rPr>
      </w:pPr>
    </w:p>
    <w:p w14:paraId="2A5B77D8" w14:textId="79DDF797" w:rsidR="007B0CA7" w:rsidRPr="007B0CA7" w:rsidRDefault="007B0CA7" w:rsidP="007B0CA7">
      <w:pPr>
        <w:rPr>
          <w:rFonts w:ascii="Arial" w:hAnsi="Arial" w:cs="Arial"/>
        </w:rPr>
      </w:pPr>
      <w:r w:rsidRPr="007B0CA7">
        <w:rPr>
          <w:rFonts w:ascii="Arial" w:hAnsi="Arial" w:cs="Arial"/>
        </w:rPr>
        <w:t>Die Veranstaltungen richten sich an TGA-Planer, Fachingenieure und ausführende Betriebe, die praxisnahe Lösungen für Sanierungsprojekte suchen und den Austausch mit Herstellern, Softwareanbietern und Planungspartnern schätzen.</w:t>
      </w:r>
    </w:p>
    <w:p w14:paraId="2752B937" w14:textId="77777777" w:rsidR="007B0CA7" w:rsidRDefault="007B0CA7" w:rsidP="007B0CA7">
      <w:pPr>
        <w:rPr>
          <w:rFonts w:ascii="Arial" w:hAnsi="Arial" w:cs="Arial"/>
          <w:b/>
          <w:bCs/>
        </w:rPr>
      </w:pPr>
      <w:r w:rsidRPr="007B0CA7">
        <w:rPr>
          <w:rFonts w:ascii="Arial" w:hAnsi="Arial" w:cs="Arial"/>
          <w:b/>
          <w:bCs/>
        </w:rPr>
        <w:lastRenderedPageBreak/>
        <w:t>Kampmann Forschung- und Entwicklung Center in Lingen</w:t>
      </w:r>
    </w:p>
    <w:p w14:paraId="66F45C5E" w14:textId="77777777" w:rsidR="007B0CA7" w:rsidRPr="007B0CA7" w:rsidRDefault="007B0CA7" w:rsidP="007B0CA7">
      <w:pPr>
        <w:rPr>
          <w:rFonts w:ascii="Arial" w:hAnsi="Arial" w:cs="Arial"/>
          <w:b/>
          <w:bCs/>
        </w:rPr>
      </w:pPr>
    </w:p>
    <w:p w14:paraId="2B983020" w14:textId="0198F162" w:rsidR="007B0CA7" w:rsidRDefault="001C37BA" w:rsidP="007B0CA7">
      <w:pPr>
        <w:rPr>
          <w:rFonts w:ascii="Arial" w:hAnsi="Arial" w:cs="Arial"/>
        </w:rPr>
      </w:pPr>
      <w:r>
        <w:rPr>
          <w:rFonts w:ascii="Arial" w:hAnsi="Arial" w:cs="Arial"/>
        </w:rPr>
        <w:t>Der Praxistag</w:t>
      </w:r>
      <w:r w:rsidR="007B0CA7" w:rsidRPr="007B0CA7">
        <w:rPr>
          <w:rFonts w:ascii="Arial" w:hAnsi="Arial" w:cs="Arial"/>
        </w:rPr>
        <w:t xml:space="preserve"> findet am </w:t>
      </w:r>
      <w:r w:rsidR="007B0CA7" w:rsidRPr="007B0CA7">
        <w:rPr>
          <w:rFonts w:ascii="Arial" w:eastAsiaTheme="minorEastAsia" w:hAnsi="Arial" w:cs="Arial"/>
        </w:rPr>
        <w:t>Mittwoch, 06. Mai 2026</w:t>
      </w:r>
      <w:r w:rsidR="007B0CA7" w:rsidRPr="007B0CA7">
        <w:rPr>
          <w:rFonts w:ascii="Arial" w:hAnsi="Arial" w:cs="Arial"/>
          <w:b/>
          <w:bCs/>
          <w:color w:val="FF0000"/>
        </w:rPr>
        <w:t xml:space="preserve"> </w:t>
      </w:r>
      <w:r w:rsidR="007B0CA7" w:rsidRPr="007B0CA7">
        <w:rPr>
          <w:rFonts w:ascii="Arial" w:hAnsi="Arial" w:cs="Arial"/>
        </w:rPr>
        <w:t>im Forschung- und Entwicklung Center der Kampmann Group in Lingen statt. Neben dem fachlichen Programm bietet die Veranstaltung Raum für Diskussion und Networking.</w:t>
      </w:r>
    </w:p>
    <w:p w14:paraId="41287EE4" w14:textId="77777777" w:rsidR="007B0CA7" w:rsidRPr="007B0CA7" w:rsidRDefault="007B0CA7" w:rsidP="007B0CA7">
      <w:pPr>
        <w:rPr>
          <w:rFonts w:ascii="Arial" w:hAnsi="Arial" w:cs="Arial"/>
        </w:rPr>
      </w:pPr>
    </w:p>
    <w:p w14:paraId="087AF77F" w14:textId="77777777" w:rsidR="007B0CA7" w:rsidRDefault="007B0CA7" w:rsidP="007B0CA7">
      <w:pPr>
        <w:rPr>
          <w:rFonts w:ascii="Arial" w:hAnsi="Arial" w:cs="Arial"/>
          <w:b/>
          <w:bCs/>
        </w:rPr>
      </w:pPr>
      <w:r w:rsidRPr="007B0CA7">
        <w:rPr>
          <w:rFonts w:ascii="Arial" w:hAnsi="Arial" w:cs="Arial"/>
          <w:b/>
          <w:bCs/>
        </w:rPr>
        <w:t>Weitere Infos</w:t>
      </w:r>
    </w:p>
    <w:p w14:paraId="571AF51D" w14:textId="77777777" w:rsidR="007B0CA7" w:rsidRPr="007B0CA7" w:rsidRDefault="007B0CA7" w:rsidP="007B0CA7">
      <w:pPr>
        <w:rPr>
          <w:rFonts w:ascii="Arial" w:hAnsi="Arial" w:cs="Arial"/>
          <w:b/>
          <w:bCs/>
        </w:rPr>
      </w:pPr>
    </w:p>
    <w:p w14:paraId="70757BA1" w14:textId="77777777" w:rsidR="007B0CA7" w:rsidRPr="007B0CA7" w:rsidRDefault="007B0CA7" w:rsidP="007B0CA7">
      <w:pPr>
        <w:rPr>
          <w:rFonts w:ascii="Arial" w:eastAsia="Aptos" w:hAnsi="Arial" w:cs="Arial"/>
        </w:rPr>
      </w:pPr>
      <w:hyperlink r:id="rId11">
        <w:r w:rsidRPr="007B0CA7">
          <w:rPr>
            <w:rStyle w:val="Hyperlink"/>
            <w:rFonts w:ascii="Arial" w:eastAsia="Aptos" w:hAnsi="Arial" w:cs="Arial"/>
            <w:sz w:val="22"/>
            <w:szCs w:val="22"/>
          </w:rPr>
          <w:t>https://www.kampmann.de/kampmann-heute/news/praxistag-ein-buerogebaeude-wird-revitalisiert</w:t>
        </w:r>
      </w:hyperlink>
      <w:r w:rsidRPr="007B0CA7">
        <w:rPr>
          <w:rFonts w:ascii="Arial" w:eastAsia="Aptos" w:hAnsi="Arial" w:cs="Arial"/>
          <w:sz w:val="22"/>
          <w:szCs w:val="22"/>
        </w:rPr>
        <w:t xml:space="preserve"> </w:t>
      </w:r>
    </w:p>
    <w:p w14:paraId="104B4F4C" w14:textId="77777777" w:rsidR="007B0CA7" w:rsidRPr="007B0CA7" w:rsidRDefault="007B0CA7" w:rsidP="007B0CA7">
      <w:pPr>
        <w:rPr>
          <w:rFonts w:ascii="Arial" w:hAnsi="Arial" w:cs="Arial"/>
          <w:b/>
          <w:bCs/>
        </w:rPr>
      </w:pPr>
    </w:p>
    <w:p w14:paraId="342DE00A" w14:textId="77777777" w:rsidR="007B0CA7" w:rsidRPr="007B0CA7" w:rsidRDefault="007B0CA7" w:rsidP="007B0CA7">
      <w:pPr>
        <w:rPr>
          <w:rFonts w:ascii="Arial" w:hAnsi="Arial" w:cs="Arial"/>
          <w:b/>
          <w:bCs/>
        </w:rPr>
      </w:pPr>
    </w:p>
    <w:p w14:paraId="5EF8B9C5" w14:textId="77777777" w:rsidR="007B0CA7" w:rsidRDefault="007B0CA7" w:rsidP="007B0CA7">
      <w:pPr>
        <w:rPr>
          <w:rFonts w:ascii="Arial" w:hAnsi="Arial" w:cs="Arial"/>
          <w:b/>
          <w:bCs/>
        </w:rPr>
      </w:pPr>
      <w:r w:rsidRPr="007B0CA7">
        <w:rPr>
          <w:rFonts w:ascii="Arial" w:hAnsi="Arial" w:cs="Arial"/>
          <w:b/>
          <w:bCs/>
        </w:rPr>
        <w:t>Über die Partner</w:t>
      </w:r>
    </w:p>
    <w:p w14:paraId="14B7B134" w14:textId="77777777" w:rsidR="007B0CA7" w:rsidRPr="007B0CA7" w:rsidRDefault="007B0CA7" w:rsidP="007B0CA7">
      <w:pPr>
        <w:rPr>
          <w:rFonts w:ascii="Arial" w:hAnsi="Arial" w:cs="Arial"/>
        </w:rPr>
      </w:pPr>
    </w:p>
    <w:p w14:paraId="06FBA81E" w14:textId="77777777" w:rsidR="007B0CA7" w:rsidRPr="007B0CA7" w:rsidRDefault="007B0CA7" w:rsidP="007B0CA7">
      <w:pPr>
        <w:rPr>
          <w:rFonts w:ascii="Arial" w:hAnsi="Arial" w:cs="Arial"/>
        </w:rPr>
      </w:pPr>
      <w:r w:rsidRPr="007B0CA7">
        <w:rPr>
          <w:rFonts w:ascii="Arial" w:hAnsi="Arial" w:cs="Arial"/>
          <w:b/>
          <w:bCs/>
        </w:rPr>
        <w:t>Kampmann</w:t>
      </w:r>
      <w:r w:rsidRPr="007B0CA7">
        <w:rPr>
          <w:rFonts w:ascii="Arial" w:hAnsi="Arial" w:cs="Arial"/>
        </w:rPr>
        <w:t xml:space="preserve"> entwickelt und produziert Systemlösungen für Heizen, Kühlen und Lüften und zählt zu den etablierten Herstellern in der technischen Gebäudeausrüstung.</w:t>
      </w:r>
      <w:r w:rsidRPr="007B0CA7">
        <w:rPr>
          <w:rFonts w:ascii="Arial" w:hAnsi="Arial" w:cs="Arial"/>
        </w:rPr>
        <w:br/>
      </w:r>
    </w:p>
    <w:p w14:paraId="7F6D2970" w14:textId="77777777" w:rsidR="007B0CA7" w:rsidRPr="007B0CA7" w:rsidRDefault="007B0CA7" w:rsidP="007B0CA7">
      <w:pPr>
        <w:rPr>
          <w:rFonts w:ascii="Arial" w:hAnsi="Arial" w:cs="Arial"/>
        </w:rPr>
      </w:pPr>
      <w:r w:rsidRPr="007B0CA7">
        <w:rPr>
          <w:rFonts w:ascii="Arial" w:hAnsi="Arial" w:cs="Arial"/>
          <w:b/>
          <w:bCs/>
        </w:rPr>
        <w:t>Hottgenroth</w:t>
      </w:r>
      <w:r w:rsidRPr="007B0CA7">
        <w:rPr>
          <w:rFonts w:ascii="Arial" w:hAnsi="Arial" w:cs="Arial"/>
        </w:rPr>
        <w:t xml:space="preserve"> entwickelt seit 1996 Software für Energieeffizienz, Gebäudetechnik und das Bauwesen. Zum Portfolio gehören CAD-, TGA- und kaufmännische Anwendungen sowie Tools für Energieberater und Schornsteinfeger. </w:t>
      </w:r>
      <w:r w:rsidRPr="007B0CA7">
        <w:rPr>
          <w:rFonts w:ascii="Arial" w:hAnsi="Arial" w:cs="Arial"/>
        </w:rPr>
        <w:br/>
      </w:r>
    </w:p>
    <w:p w14:paraId="19DBA3C7" w14:textId="77777777" w:rsidR="007B0CA7" w:rsidRPr="007B0CA7" w:rsidRDefault="007B0CA7" w:rsidP="007B0CA7">
      <w:pPr>
        <w:rPr>
          <w:rFonts w:ascii="Arial" w:hAnsi="Arial" w:cs="Arial"/>
        </w:rPr>
      </w:pPr>
      <w:r w:rsidRPr="007B0CA7">
        <w:rPr>
          <w:rFonts w:ascii="Arial" w:hAnsi="Arial" w:cs="Arial"/>
          <w:b/>
          <w:bCs/>
        </w:rPr>
        <w:t>WILO</w:t>
      </w:r>
      <w:r w:rsidRPr="007B0CA7">
        <w:rPr>
          <w:rFonts w:ascii="Arial" w:hAnsi="Arial" w:cs="Arial"/>
        </w:rPr>
        <w:t xml:space="preserve"> ist ein international führender Anbieter von Pumpen- und Pumpensystemen für die Gebäudetechnik und Industrie.</w:t>
      </w:r>
    </w:p>
    <w:p w14:paraId="147FCFE2" w14:textId="77777777" w:rsidR="007B0CA7" w:rsidRPr="00236C3A" w:rsidRDefault="007B0CA7" w:rsidP="00236C3A">
      <w:pPr>
        <w:pBdr>
          <w:bottom w:val="single" w:sz="12" w:space="21" w:color="auto"/>
        </w:pBdr>
        <w:spacing w:line="360" w:lineRule="exact"/>
        <w:ind w:right="1128"/>
        <w:rPr>
          <w:rFonts w:ascii="Arial" w:hAnsi="Arial" w:cs="Arial"/>
        </w:rPr>
      </w:pPr>
    </w:p>
    <w:p w14:paraId="006758E0" w14:textId="77777777" w:rsidR="000E0D22" w:rsidRPr="000E0D22" w:rsidRDefault="000E0D22" w:rsidP="000E0D22">
      <w:pPr>
        <w:widowControl w:val="0"/>
        <w:suppressAutoHyphens/>
        <w:autoSpaceDE w:val="0"/>
        <w:autoSpaceDN w:val="0"/>
        <w:adjustRightInd w:val="0"/>
        <w:spacing w:line="360" w:lineRule="exact"/>
        <w:ind w:right="1128"/>
        <w:rPr>
          <w:rFonts w:ascii="Arial" w:hAnsi="Arial" w:cs="Arial"/>
          <w:sz w:val="22"/>
          <w:szCs w:val="22"/>
          <w:lang w:val="en-US"/>
        </w:rPr>
      </w:pPr>
    </w:p>
    <w:sectPr w:rsidR="000E0D22" w:rsidRPr="000E0D22">
      <w:headerReference w:type="default" r:id="rId12"/>
      <w:footerReference w:type="first" r:id="rId13"/>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64439" w14:textId="77777777" w:rsidR="00926F1F" w:rsidRDefault="00926F1F">
      <w:r>
        <w:separator/>
      </w:r>
    </w:p>
  </w:endnote>
  <w:endnote w:type="continuationSeparator" w:id="0">
    <w:p w14:paraId="1C011389" w14:textId="77777777" w:rsidR="00926F1F" w:rsidRDefault="0092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45717" w14:textId="77777777" w:rsidR="00926F1F" w:rsidRDefault="00926F1F">
      <w:r>
        <w:separator/>
      </w:r>
    </w:p>
  </w:footnote>
  <w:footnote w:type="continuationSeparator" w:id="0">
    <w:p w14:paraId="5E2A4214" w14:textId="77777777" w:rsidR="00926F1F" w:rsidRDefault="0092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2"/>
  </w:num>
  <w:num w:numId="2" w16cid:durableId="643587677">
    <w:abstractNumId w:val="0"/>
  </w:num>
  <w:num w:numId="3" w16cid:durableId="142552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124BE"/>
    <w:rsid w:val="00015337"/>
    <w:rsid w:val="00022711"/>
    <w:rsid w:val="000300ED"/>
    <w:rsid w:val="00050EB1"/>
    <w:rsid w:val="000609F4"/>
    <w:rsid w:val="00070EBD"/>
    <w:rsid w:val="00083754"/>
    <w:rsid w:val="00096193"/>
    <w:rsid w:val="000A36DD"/>
    <w:rsid w:val="000B777F"/>
    <w:rsid w:val="000E0D22"/>
    <w:rsid w:val="000E2E8E"/>
    <w:rsid w:val="00115644"/>
    <w:rsid w:val="001360F0"/>
    <w:rsid w:val="0014185A"/>
    <w:rsid w:val="00141BB4"/>
    <w:rsid w:val="00162413"/>
    <w:rsid w:val="00166FF8"/>
    <w:rsid w:val="00181638"/>
    <w:rsid w:val="00194FD5"/>
    <w:rsid w:val="001C3522"/>
    <w:rsid w:val="001C37BA"/>
    <w:rsid w:val="001D1BE1"/>
    <w:rsid w:val="001E45A4"/>
    <w:rsid w:val="001F339C"/>
    <w:rsid w:val="002148A7"/>
    <w:rsid w:val="00226C79"/>
    <w:rsid w:val="002327B9"/>
    <w:rsid w:val="0023355D"/>
    <w:rsid w:val="00236C3A"/>
    <w:rsid w:val="00256790"/>
    <w:rsid w:val="00257A50"/>
    <w:rsid w:val="0026081A"/>
    <w:rsid w:val="002611C3"/>
    <w:rsid w:val="00266BD9"/>
    <w:rsid w:val="002713C4"/>
    <w:rsid w:val="002B431B"/>
    <w:rsid w:val="002C2513"/>
    <w:rsid w:val="002D1C18"/>
    <w:rsid w:val="002D3077"/>
    <w:rsid w:val="002D3351"/>
    <w:rsid w:val="002D4FF8"/>
    <w:rsid w:val="00303B9F"/>
    <w:rsid w:val="00310E94"/>
    <w:rsid w:val="00343539"/>
    <w:rsid w:val="00372A89"/>
    <w:rsid w:val="00376667"/>
    <w:rsid w:val="00377035"/>
    <w:rsid w:val="003A1873"/>
    <w:rsid w:val="003A2167"/>
    <w:rsid w:val="003A418E"/>
    <w:rsid w:val="003B3811"/>
    <w:rsid w:val="003E5878"/>
    <w:rsid w:val="003F5DA8"/>
    <w:rsid w:val="00410625"/>
    <w:rsid w:val="004146A5"/>
    <w:rsid w:val="00430A94"/>
    <w:rsid w:val="0044255D"/>
    <w:rsid w:val="00450CE9"/>
    <w:rsid w:val="00465EB1"/>
    <w:rsid w:val="00471A08"/>
    <w:rsid w:val="00483914"/>
    <w:rsid w:val="004928A5"/>
    <w:rsid w:val="0049412D"/>
    <w:rsid w:val="00495668"/>
    <w:rsid w:val="004A2B21"/>
    <w:rsid w:val="004B6228"/>
    <w:rsid w:val="004F6081"/>
    <w:rsid w:val="00507139"/>
    <w:rsid w:val="0050787E"/>
    <w:rsid w:val="00534DEC"/>
    <w:rsid w:val="005362D7"/>
    <w:rsid w:val="005560C4"/>
    <w:rsid w:val="005928AB"/>
    <w:rsid w:val="00592D14"/>
    <w:rsid w:val="00594D2B"/>
    <w:rsid w:val="005A1C2C"/>
    <w:rsid w:val="005A601D"/>
    <w:rsid w:val="005A7286"/>
    <w:rsid w:val="005E6E50"/>
    <w:rsid w:val="00601247"/>
    <w:rsid w:val="0061415B"/>
    <w:rsid w:val="0061623F"/>
    <w:rsid w:val="006248D2"/>
    <w:rsid w:val="00633EBE"/>
    <w:rsid w:val="00652BE1"/>
    <w:rsid w:val="00692195"/>
    <w:rsid w:val="00692DA7"/>
    <w:rsid w:val="006B389D"/>
    <w:rsid w:val="006E5978"/>
    <w:rsid w:val="00700D8D"/>
    <w:rsid w:val="00712E1E"/>
    <w:rsid w:val="00724D39"/>
    <w:rsid w:val="0074275D"/>
    <w:rsid w:val="00745624"/>
    <w:rsid w:val="00745664"/>
    <w:rsid w:val="007835D5"/>
    <w:rsid w:val="00795A73"/>
    <w:rsid w:val="007B0C91"/>
    <w:rsid w:val="007B0CA7"/>
    <w:rsid w:val="007B268A"/>
    <w:rsid w:val="007B3653"/>
    <w:rsid w:val="007B5806"/>
    <w:rsid w:val="0081514B"/>
    <w:rsid w:val="00822003"/>
    <w:rsid w:val="00837440"/>
    <w:rsid w:val="008442EF"/>
    <w:rsid w:val="00860969"/>
    <w:rsid w:val="00867BA2"/>
    <w:rsid w:val="00871C26"/>
    <w:rsid w:val="00876DB6"/>
    <w:rsid w:val="00882368"/>
    <w:rsid w:val="008A7084"/>
    <w:rsid w:val="008C27F5"/>
    <w:rsid w:val="008D11E1"/>
    <w:rsid w:val="008D298D"/>
    <w:rsid w:val="008D51DC"/>
    <w:rsid w:val="008D7F85"/>
    <w:rsid w:val="008F4E88"/>
    <w:rsid w:val="00926F1F"/>
    <w:rsid w:val="00945346"/>
    <w:rsid w:val="009526A0"/>
    <w:rsid w:val="00956855"/>
    <w:rsid w:val="0099533B"/>
    <w:rsid w:val="009A4946"/>
    <w:rsid w:val="009A4E78"/>
    <w:rsid w:val="009B251D"/>
    <w:rsid w:val="00A118CC"/>
    <w:rsid w:val="00A21FA6"/>
    <w:rsid w:val="00A256DB"/>
    <w:rsid w:val="00A3628C"/>
    <w:rsid w:val="00A50725"/>
    <w:rsid w:val="00AC679F"/>
    <w:rsid w:val="00AC757F"/>
    <w:rsid w:val="00AE5025"/>
    <w:rsid w:val="00AF6EC5"/>
    <w:rsid w:val="00B017A4"/>
    <w:rsid w:val="00B11456"/>
    <w:rsid w:val="00B169C7"/>
    <w:rsid w:val="00B176E3"/>
    <w:rsid w:val="00B342F4"/>
    <w:rsid w:val="00B47BA7"/>
    <w:rsid w:val="00B669F4"/>
    <w:rsid w:val="00B7465C"/>
    <w:rsid w:val="00B801BC"/>
    <w:rsid w:val="00BA5921"/>
    <w:rsid w:val="00BB4241"/>
    <w:rsid w:val="00BC665E"/>
    <w:rsid w:val="00C1213E"/>
    <w:rsid w:val="00C1593C"/>
    <w:rsid w:val="00C3792B"/>
    <w:rsid w:val="00C4304D"/>
    <w:rsid w:val="00C542DA"/>
    <w:rsid w:val="00C57990"/>
    <w:rsid w:val="00C57A88"/>
    <w:rsid w:val="00C6280F"/>
    <w:rsid w:val="00C66D66"/>
    <w:rsid w:val="00CA03DB"/>
    <w:rsid w:val="00CB4634"/>
    <w:rsid w:val="00CD677E"/>
    <w:rsid w:val="00CE317F"/>
    <w:rsid w:val="00D01B88"/>
    <w:rsid w:val="00D04A7E"/>
    <w:rsid w:val="00D3340F"/>
    <w:rsid w:val="00D71FEF"/>
    <w:rsid w:val="00D74FDE"/>
    <w:rsid w:val="00D91FDF"/>
    <w:rsid w:val="00DB049E"/>
    <w:rsid w:val="00DE5573"/>
    <w:rsid w:val="00DF18D2"/>
    <w:rsid w:val="00E16D93"/>
    <w:rsid w:val="00E414D7"/>
    <w:rsid w:val="00E459AB"/>
    <w:rsid w:val="00E4616E"/>
    <w:rsid w:val="00E51979"/>
    <w:rsid w:val="00E53D95"/>
    <w:rsid w:val="00E77967"/>
    <w:rsid w:val="00E94BCD"/>
    <w:rsid w:val="00EA5D08"/>
    <w:rsid w:val="00EB6945"/>
    <w:rsid w:val="00EC74CC"/>
    <w:rsid w:val="00ED7290"/>
    <w:rsid w:val="00EE32CE"/>
    <w:rsid w:val="00EF4794"/>
    <w:rsid w:val="00EF4F53"/>
    <w:rsid w:val="00EF54C8"/>
    <w:rsid w:val="00EF76C7"/>
    <w:rsid w:val="00F33524"/>
    <w:rsid w:val="00F54A92"/>
    <w:rsid w:val="00F60F51"/>
    <w:rsid w:val="00F63CA4"/>
    <w:rsid w:val="00F63CA5"/>
    <w:rsid w:val="00F6511D"/>
    <w:rsid w:val="00F735C1"/>
    <w:rsid w:val="00F73928"/>
    <w:rsid w:val="00F8010F"/>
    <w:rsid w:val="00F81568"/>
    <w:rsid w:val="00F94550"/>
    <w:rsid w:val="00F962C8"/>
    <w:rsid w:val="00FA2470"/>
    <w:rsid w:val="00FC5679"/>
    <w:rsid w:val="00FD33C2"/>
    <w:rsid w:val="0E406270"/>
    <w:rsid w:val="0F6BAED9"/>
    <w:rsid w:val="0F775A82"/>
    <w:rsid w:val="124E701D"/>
    <w:rsid w:val="22BA8F4B"/>
    <w:rsid w:val="323CD557"/>
    <w:rsid w:val="36BF6CC4"/>
    <w:rsid w:val="3943A576"/>
    <w:rsid w:val="3BA346DD"/>
    <w:rsid w:val="42F1ECCD"/>
    <w:rsid w:val="4613EC17"/>
    <w:rsid w:val="48232593"/>
    <w:rsid w:val="51CD780B"/>
    <w:rsid w:val="5C537688"/>
    <w:rsid w:val="5E3FBF62"/>
    <w:rsid w:val="6A8D8B71"/>
    <w:rsid w:val="6E3BC563"/>
    <w:rsid w:val="7CD4E529"/>
    <w:rsid w:val="7CE301A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EEB2065A-DBAA-4110-839E-58A9DD12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D2B"/>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ampmann.de/kampmann-heute/news/praxistag-ein-buerogebaeude-wird-revitalisier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8babbfa-a1e4-4717-a4fe-71b8e994ca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D8C1C8E201492419B58AC0CD251FCB2" ma:contentTypeVersion="15" ma:contentTypeDescription="Ein neues Dokument erstellen." ma:contentTypeScope="" ma:versionID="645a9827f8f3bd24b11c104590fbdcd3">
  <xsd:schema xmlns:xsd="http://www.w3.org/2001/XMLSchema" xmlns:xs="http://www.w3.org/2001/XMLSchema" xmlns:p="http://schemas.microsoft.com/office/2006/metadata/properties" xmlns:ns3="e8babbfa-a1e4-4717-a4fe-71b8e994ca16" xmlns:ns4="0ebd11cc-12fd-4aa3-987f-7b20765efa72" targetNamespace="http://schemas.microsoft.com/office/2006/metadata/properties" ma:root="true" ma:fieldsID="577bf63fdff081c3357c5995da0ada6a" ns3:_="" ns4:_="">
    <xsd:import namespace="e8babbfa-a1e4-4717-a4fe-71b8e994ca16"/>
    <xsd:import namespace="0ebd11cc-12fd-4aa3-987f-7b20765efa72"/>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babbfa-a1e4-4717-a4fe-71b8e994ca16"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bd11cc-12fd-4aa3-987f-7b20765efa72"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80362E-B168-4362-BBF1-3FCFA695674C}">
  <ds:schemaRefs>
    <ds:schemaRef ds:uri="http://schemas.microsoft.com/office/2006/metadata/properties"/>
    <ds:schemaRef ds:uri="http://schemas.microsoft.com/office/infopath/2007/PartnerControls"/>
    <ds:schemaRef ds:uri="e8babbfa-a1e4-4717-a4fe-71b8e994ca16"/>
  </ds:schemaRefs>
</ds:datastoreItem>
</file>

<file path=customXml/itemProps2.xml><?xml version="1.0" encoding="utf-8"?>
<ds:datastoreItem xmlns:ds="http://schemas.openxmlformats.org/officeDocument/2006/customXml" ds:itemID="{EB741204-9025-4041-93CE-5AADC4DF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babbfa-a1e4-4717-a4fe-71b8e994ca16"/>
    <ds:schemaRef ds:uri="0ebd11cc-12fd-4aa3-987f-7b20765efa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897422-18EB-464C-9E5D-BE42CE97FB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2640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Thea Konrad</cp:lastModifiedBy>
  <cp:revision>12</cp:revision>
  <cp:lastPrinted>2020-06-19T12:45:00Z</cp:lastPrinted>
  <dcterms:created xsi:type="dcterms:W3CDTF">2026-01-13T14:00:00Z</dcterms:created>
  <dcterms:modified xsi:type="dcterms:W3CDTF">2026-02-06T11:52:00Z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y fmtid="{D5CDD505-2E9C-101B-9397-08002B2CF9AE}" pid="3" name="ContentTypeId">
    <vt:lpwstr>0x010100FD8C1C8E201492419B58AC0CD251FCB2</vt:lpwstr>
  </property>
</Properties>
</file>