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4239" w14:textId="3FC071DD" w:rsidR="00C1593C" w:rsidRPr="00465EB1" w:rsidRDefault="00181638">
      <w:pPr>
        <w:pStyle w:val="Sprechblasentext"/>
        <w:tabs>
          <w:tab w:val="left" w:pos="3514"/>
          <w:tab w:val="left" w:pos="6033"/>
        </w:tabs>
        <w:spacing w:line="360" w:lineRule="exact"/>
        <w:rPr>
          <w:rFonts w:ascii="Arial" w:hAnsi="Arial" w:cs="Arial"/>
          <w:sz w:val="22"/>
          <w:szCs w:val="22"/>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 xml:space="preserve">                                  </w:t>
      </w:r>
      <w:r w:rsidR="00513DA3">
        <w:rPr>
          <w:rFonts w:ascii="Arial" w:hAnsi="Arial" w:cs="Arial"/>
          <w:sz w:val="18"/>
          <w:szCs w:val="18"/>
        </w:rPr>
        <w:t>März</w:t>
      </w:r>
      <w:r w:rsidR="00A50725">
        <w:rPr>
          <w:rFonts w:ascii="Arial" w:hAnsi="Arial" w:cs="Arial"/>
          <w:sz w:val="18"/>
          <w:szCs w:val="18"/>
        </w:rPr>
        <w:t xml:space="preserve"> </w:t>
      </w:r>
      <w:r>
        <w:rPr>
          <w:rFonts w:ascii="Arial" w:hAnsi="Arial" w:cs="Arial"/>
          <w:sz w:val="18"/>
          <w:szCs w:val="18"/>
        </w:rPr>
        <w:t>202</w:t>
      </w:r>
      <w:r w:rsidR="00942057">
        <w:rPr>
          <w:rFonts w:ascii="Arial" w:hAnsi="Arial" w:cs="Arial"/>
          <w:sz w:val="18"/>
          <w:szCs w:val="18"/>
        </w:rPr>
        <w:t>6</w:t>
      </w:r>
    </w:p>
    <w:p w14:paraId="609DC21E" w14:textId="77777777" w:rsidR="009A4946" w:rsidRDefault="009A4946" w:rsidP="006B389D">
      <w:pPr>
        <w:pBdr>
          <w:bottom w:val="single" w:sz="12" w:space="21" w:color="auto"/>
        </w:pBdr>
        <w:spacing w:line="360" w:lineRule="exact"/>
        <w:ind w:right="1128"/>
        <w:rPr>
          <w:rFonts w:ascii="Arial" w:hAnsi="Arial" w:cs="Arial"/>
          <w:b/>
          <w:bCs/>
        </w:rPr>
      </w:pPr>
    </w:p>
    <w:p w14:paraId="36287489" w14:textId="0223E987" w:rsidR="00D3340F" w:rsidRDefault="00D3340F" w:rsidP="006B389D">
      <w:pPr>
        <w:pBdr>
          <w:bottom w:val="single" w:sz="12" w:space="21" w:color="auto"/>
        </w:pBdr>
        <w:spacing w:line="360" w:lineRule="exact"/>
        <w:ind w:right="1128"/>
        <w:rPr>
          <w:rFonts w:ascii="Arial" w:hAnsi="Arial" w:cs="Arial"/>
          <w:b/>
          <w:bCs/>
        </w:rPr>
      </w:pPr>
      <w:r w:rsidRPr="00D3340F">
        <w:rPr>
          <w:rFonts w:ascii="Arial" w:hAnsi="Arial" w:cs="Arial"/>
          <w:b/>
          <w:bCs/>
        </w:rPr>
        <w:t xml:space="preserve">Hottgenroth </w:t>
      </w:r>
      <w:r w:rsidR="00372A89">
        <w:rPr>
          <w:rFonts w:ascii="Arial" w:hAnsi="Arial" w:cs="Arial"/>
          <w:b/>
          <w:bCs/>
        </w:rPr>
        <w:t xml:space="preserve">auf der </w:t>
      </w:r>
      <w:r w:rsidR="00576338">
        <w:rPr>
          <w:rFonts w:ascii="Arial" w:hAnsi="Arial" w:cs="Arial"/>
          <w:b/>
          <w:bCs/>
        </w:rPr>
        <w:t>IFH/Intherm</w:t>
      </w:r>
      <w:r w:rsidR="00942057">
        <w:rPr>
          <w:rFonts w:ascii="Arial" w:hAnsi="Arial" w:cs="Arial"/>
          <w:b/>
          <w:bCs/>
        </w:rPr>
        <w:t xml:space="preserve"> Nürnberg</w:t>
      </w:r>
      <w:r w:rsidR="00372A89">
        <w:rPr>
          <w:rFonts w:ascii="Arial" w:hAnsi="Arial" w:cs="Arial"/>
          <w:b/>
          <w:bCs/>
        </w:rPr>
        <w:t xml:space="preserve"> 202</w:t>
      </w:r>
      <w:r w:rsidR="00942057">
        <w:rPr>
          <w:rFonts w:ascii="Arial" w:hAnsi="Arial" w:cs="Arial"/>
          <w:b/>
          <w:bCs/>
        </w:rPr>
        <w:t>6</w:t>
      </w:r>
      <w:r w:rsidR="00372A89">
        <w:rPr>
          <w:rFonts w:ascii="Arial" w:hAnsi="Arial" w:cs="Arial"/>
          <w:b/>
          <w:bCs/>
        </w:rPr>
        <w:br/>
        <w:t>Innovationen</w:t>
      </w:r>
      <w:r w:rsidR="003F6E7A">
        <w:rPr>
          <w:rFonts w:ascii="Arial" w:hAnsi="Arial" w:cs="Arial"/>
          <w:b/>
          <w:bCs/>
        </w:rPr>
        <w:t>, Bewährtes</w:t>
      </w:r>
      <w:r w:rsidR="00372A89">
        <w:rPr>
          <w:rFonts w:ascii="Arial" w:hAnsi="Arial" w:cs="Arial"/>
          <w:b/>
          <w:bCs/>
        </w:rPr>
        <w:t xml:space="preserve"> und </w:t>
      </w:r>
      <w:r w:rsidR="00096193">
        <w:rPr>
          <w:rFonts w:ascii="Arial" w:hAnsi="Arial" w:cs="Arial"/>
          <w:b/>
          <w:bCs/>
        </w:rPr>
        <w:t>Visionen</w:t>
      </w:r>
    </w:p>
    <w:p w14:paraId="7AC679A6" w14:textId="77777777" w:rsidR="00681CF6" w:rsidRDefault="00681CF6" w:rsidP="00031814">
      <w:pPr>
        <w:pBdr>
          <w:bottom w:val="single" w:sz="12" w:space="21" w:color="auto"/>
        </w:pBdr>
        <w:spacing w:line="360" w:lineRule="exact"/>
        <w:ind w:right="1128"/>
        <w:jc w:val="both"/>
        <w:rPr>
          <w:rFonts w:ascii="Arial" w:hAnsi="Arial" w:cs="Arial"/>
        </w:rPr>
      </w:pPr>
    </w:p>
    <w:p w14:paraId="04634835" w14:textId="2F199AA6" w:rsidR="00681CF6" w:rsidRDefault="00681CF6" w:rsidP="00681CF6">
      <w:pPr>
        <w:pBdr>
          <w:bottom w:val="single" w:sz="12" w:space="21" w:color="auto"/>
        </w:pBdr>
        <w:spacing w:line="360" w:lineRule="exact"/>
        <w:ind w:right="1128"/>
        <w:jc w:val="both"/>
        <w:rPr>
          <w:rFonts w:ascii="Arial" w:hAnsi="Arial" w:cs="Arial"/>
        </w:rPr>
      </w:pPr>
      <w:r w:rsidRPr="00576338">
        <w:rPr>
          <w:rFonts w:ascii="Arial" w:hAnsi="Arial" w:cs="Arial"/>
          <w:b/>
          <w:bCs/>
        </w:rPr>
        <w:t xml:space="preserve">Köln, </w:t>
      </w:r>
      <w:r w:rsidR="00513DA3">
        <w:rPr>
          <w:rFonts w:ascii="Arial" w:hAnsi="Arial" w:cs="Arial"/>
          <w:b/>
          <w:bCs/>
        </w:rPr>
        <w:t>02</w:t>
      </w:r>
      <w:r w:rsidRPr="00576338">
        <w:rPr>
          <w:rFonts w:ascii="Arial" w:hAnsi="Arial" w:cs="Arial"/>
          <w:b/>
          <w:bCs/>
        </w:rPr>
        <w:t>.0</w:t>
      </w:r>
      <w:r w:rsidR="00513DA3">
        <w:rPr>
          <w:rFonts w:ascii="Arial" w:hAnsi="Arial" w:cs="Arial"/>
          <w:b/>
          <w:bCs/>
        </w:rPr>
        <w:t>3</w:t>
      </w:r>
      <w:r w:rsidRPr="00576338">
        <w:rPr>
          <w:rFonts w:ascii="Arial" w:hAnsi="Arial" w:cs="Arial"/>
          <w:b/>
          <w:bCs/>
        </w:rPr>
        <w:t>.2026</w:t>
      </w:r>
      <w:r w:rsidRPr="00576338">
        <w:rPr>
          <w:rFonts w:ascii="Arial" w:hAnsi="Arial" w:cs="Arial"/>
        </w:rPr>
        <w:t xml:space="preserve"> –</w:t>
      </w:r>
      <w:r w:rsidRPr="00681CF6">
        <w:rPr>
          <w:rFonts w:ascii="Arial" w:hAnsi="Arial" w:cs="Arial"/>
        </w:rPr>
        <w:t xml:space="preserve"> Die Hottgenroth Gruppe präsentiert vom 14. bis 17. April 2026 auf der IFH</w:t>
      </w:r>
      <w:r w:rsidR="00576338">
        <w:rPr>
          <w:rFonts w:ascii="Arial" w:hAnsi="Arial" w:cs="Arial"/>
        </w:rPr>
        <w:t>/Intherm</w:t>
      </w:r>
      <w:r w:rsidRPr="00681CF6">
        <w:rPr>
          <w:rFonts w:ascii="Arial" w:hAnsi="Arial" w:cs="Arial"/>
        </w:rPr>
        <w:t xml:space="preserve"> Nürnberg in Halle 3A, Stand 103, auf einer Fläche von 130 m² ihre aktuellen Soft</w:t>
      </w:r>
      <w:r w:rsidR="004567DA">
        <w:rPr>
          <w:rFonts w:ascii="Arial" w:hAnsi="Arial" w:cs="Arial"/>
        </w:rPr>
        <w:t>ware</w:t>
      </w:r>
      <w:r w:rsidRPr="00681CF6">
        <w:rPr>
          <w:rFonts w:ascii="Arial" w:hAnsi="Arial" w:cs="Arial"/>
        </w:rPr>
        <w:t>- und Hardwarelösungen für Gebäudetechnik, Heizungsoptimierung und digitale Gebäudeerfassung. Neben etablierten Anwendungen werden neue Funktionen und Erweiterungen vorgestellt.</w:t>
      </w:r>
    </w:p>
    <w:p w14:paraId="3A67EA03" w14:textId="77777777" w:rsidR="00576338" w:rsidRDefault="00576338" w:rsidP="00681CF6">
      <w:pPr>
        <w:pBdr>
          <w:bottom w:val="single" w:sz="12" w:space="21" w:color="auto"/>
        </w:pBdr>
        <w:spacing w:line="360" w:lineRule="exact"/>
        <w:ind w:right="1128"/>
        <w:jc w:val="both"/>
        <w:rPr>
          <w:rFonts w:ascii="Arial" w:hAnsi="Arial" w:cs="Arial"/>
        </w:rPr>
      </w:pPr>
    </w:p>
    <w:p w14:paraId="3EBD4757" w14:textId="77777777" w:rsidR="00576338" w:rsidRPr="00681CF6" w:rsidRDefault="00576338" w:rsidP="00576338">
      <w:pPr>
        <w:pBdr>
          <w:bottom w:val="single" w:sz="12" w:space="21" w:color="auto"/>
        </w:pBdr>
        <w:spacing w:line="360" w:lineRule="exact"/>
        <w:ind w:right="1128"/>
        <w:jc w:val="both"/>
        <w:rPr>
          <w:rFonts w:ascii="Arial" w:hAnsi="Arial" w:cs="Arial"/>
          <w:b/>
          <w:bCs/>
        </w:rPr>
      </w:pPr>
      <w:r w:rsidRPr="00681CF6">
        <w:rPr>
          <w:rFonts w:ascii="Arial" w:hAnsi="Arial" w:cs="Arial"/>
          <w:b/>
          <w:bCs/>
        </w:rPr>
        <w:t>Lösungen für die nachhaltige Energieberatung</w:t>
      </w:r>
    </w:p>
    <w:p w14:paraId="7E66B4A9" w14:textId="41DBD4AA" w:rsidR="00576338" w:rsidRPr="00681CF6" w:rsidRDefault="00576338" w:rsidP="00576338">
      <w:pPr>
        <w:pBdr>
          <w:bottom w:val="single" w:sz="12" w:space="21" w:color="auto"/>
        </w:pBdr>
        <w:spacing w:line="360" w:lineRule="exact"/>
        <w:ind w:right="1128"/>
        <w:jc w:val="both"/>
        <w:rPr>
          <w:rFonts w:ascii="Arial" w:hAnsi="Arial" w:cs="Arial"/>
        </w:rPr>
      </w:pPr>
      <w:r w:rsidRPr="00681CF6">
        <w:rPr>
          <w:rFonts w:ascii="Arial" w:hAnsi="Arial" w:cs="Arial"/>
        </w:rPr>
        <w:t xml:space="preserve">Für die Energieberatung bietet Hottgenroth unter anderem </w:t>
      </w:r>
      <w:r w:rsidR="00D44449">
        <w:rPr>
          <w:rFonts w:ascii="Arial" w:hAnsi="Arial" w:cs="Arial"/>
        </w:rPr>
        <w:t>den GEG-Berater</w:t>
      </w:r>
      <w:r w:rsidRPr="00681CF6">
        <w:rPr>
          <w:rFonts w:ascii="Arial" w:hAnsi="Arial" w:cs="Arial"/>
        </w:rPr>
        <w:t xml:space="preserve"> an. Damit lassen sich GEG-Bilanzierungen, Heizlastberechnungen, Ökobilanzen sowie Lüftungskonzepte erstellen. Mit einer entsprechenden Erweiterung können auch Nichtwohngebäude bearbeitet werden.</w:t>
      </w:r>
    </w:p>
    <w:p w14:paraId="57AD34CF" w14:textId="77777777" w:rsidR="00681CF6" w:rsidRPr="00681CF6" w:rsidRDefault="00681CF6" w:rsidP="00681CF6">
      <w:pPr>
        <w:pBdr>
          <w:bottom w:val="single" w:sz="12" w:space="21" w:color="auto"/>
        </w:pBdr>
        <w:spacing w:line="360" w:lineRule="exact"/>
        <w:ind w:right="1128"/>
        <w:jc w:val="both"/>
        <w:rPr>
          <w:rFonts w:ascii="Arial" w:hAnsi="Arial" w:cs="Arial"/>
        </w:rPr>
      </w:pPr>
    </w:p>
    <w:p w14:paraId="6FD5D305" w14:textId="77777777" w:rsidR="00681CF6" w:rsidRPr="00681CF6" w:rsidRDefault="00681CF6" w:rsidP="00681CF6">
      <w:pPr>
        <w:pBdr>
          <w:bottom w:val="single" w:sz="12" w:space="21" w:color="auto"/>
        </w:pBdr>
        <w:spacing w:line="360" w:lineRule="exact"/>
        <w:ind w:right="1128"/>
        <w:jc w:val="both"/>
        <w:rPr>
          <w:rFonts w:ascii="Arial" w:hAnsi="Arial" w:cs="Arial"/>
          <w:b/>
          <w:bCs/>
        </w:rPr>
      </w:pPr>
      <w:r w:rsidRPr="00681CF6">
        <w:rPr>
          <w:rFonts w:ascii="Arial" w:hAnsi="Arial" w:cs="Arial"/>
          <w:b/>
          <w:bCs/>
        </w:rPr>
        <w:t>Komplettlösung zur Heizungsoptimierung</w:t>
      </w:r>
    </w:p>
    <w:p w14:paraId="790D68BD" w14:textId="77777777" w:rsidR="00681CF6" w:rsidRPr="00681CF6" w:rsidRDefault="00681CF6" w:rsidP="00681CF6">
      <w:pPr>
        <w:pBdr>
          <w:bottom w:val="single" w:sz="12" w:space="21" w:color="auto"/>
        </w:pBdr>
        <w:spacing w:line="360" w:lineRule="exact"/>
        <w:ind w:right="1128"/>
        <w:jc w:val="both"/>
        <w:rPr>
          <w:rFonts w:ascii="Arial" w:hAnsi="Arial" w:cs="Arial"/>
        </w:rPr>
      </w:pPr>
      <w:r w:rsidRPr="00681CF6">
        <w:rPr>
          <w:rFonts w:ascii="Arial" w:hAnsi="Arial" w:cs="Arial"/>
        </w:rPr>
        <w:t>Mit dem neuen ETU-Planer Basic bündelt Hottgenroth zentrale Module zur Heizungsoptimierung. Dazu zählen unter anderem die Heizlastberechnung nach DIN 12831 sowie die Auslegung nach VDI 4645. Ein integrierter Produktkatalog ermöglicht die Auswahl geeigneter Wärmepumpenlösungen. Die Software unterstützt Energieberater, TGA-Planer und SHK-Fachbetriebe bei der Planung energetischer Sanierungsmaßnahmen und bietet Funktionen zur Wirtschaftlichkeitsbetrachtung.</w:t>
      </w:r>
    </w:p>
    <w:p w14:paraId="127819AB" w14:textId="77777777" w:rsidR="00681CF6" w:rsidRDefault="00681CF6" w:rsidP="00681CF6">
      <w:pPr>
        <w:pBdr>
          <w:bottom w:val="single" w:sz="12" w:space="21" w:color="auto"/>
        </w:pBdr>
        <w:spacing w:line="360" w:lineRule="exact"/>
        <w:ind w:right="1128"/>
        <w:jc w:val="both"/>
        <w:rPr>
          <w:rFonts w:ascii="Arial" w:hAnsi="Arial" w:cs="Arial"/>
        </w:rPr>
      </w:pPr>
      <w:r w:rsidRPr="00681CF6">
        <w:rPr>
          <w:rFonts w:ascii="Arial" w:hAnsi="Arial" w:cs="Arial"/>
        </w:rPr>
        <w:t>In der CAD-Lösung HottCAD kann die Heizlast auf Basis der Raumgeometrie sowohl für einzelne Räume als auch für das gesamte Gebäude berechnet werden.</w:t>
      </w:r>
    </w:p>
    <w:p w14:paraId="00601DF6" w14:textId="77777777" w:rsidR="00681CF6" w:rsidRPr="00681CF6" w:rsidRDefault="00681CF6" w:rsidP="00681CF6">
      <w:pPr>
        <w:pBdr>
          <w:bottom w:val="single" w:sz="12" w:space="21" w:color="auto"/>
        </w:pBdr>
        <w:spacing w:line="360" w:lineRule="exact"/>
        <w:ind w:right="1128"/>
        <w:jc w:val="both"/>
        <w:rPr>
          <w:rFonts w:ascii="Arial" w:hAnsi="Arial" w:cs="Arial"/>
        </w:rPr>
      </w:pPr>
    </w:p>
    <w:p w14:paraId="247D641A" w14:textId="77777777" w:rsidR="00681CF6" w:rsidRPr="00681CF6" w:rsidRDefault="00681CF6" w:rsidP="00681CF6">
      <w:pPr>
        <w:pBdr>
          <w:bottom w:val="single" w:sz="12" w:space="21" w:color="auto"/>
        </w:pBdr>
        <w:spacing w:line="360" w:lineRule="exact"/>
        <w:ind w:right="1128"/>
        <w:jc w:val="both"/>
        <w:rPr>
          <w:rFonts w:ascii="Arial" w:hAnsi="Arial" w:cs="Arial"/>
          <w:b/>
          <w:bCs/>
        </w:rPr>
      </w:pPr>
      <w:r w:rsidRPr="00681CF6">
        <w:rPr>
          <w:rFonts w:ascii="Arial" w:hAnsi="Arial" w:cs="Arial"/>
          <w:b/>
          <w:bCs/>
        </w:rPr>
        <w:t>Optimus 2026 für den hydraulischen Abgleich</w:t>
      </w:r>
    </w:p>
    <w:p w14:paraId="79760F03" w14:textId="77777777" w:rsidR="00681CF6" w:rsidRDefault="00681CF6" w:rsidP="00681CF6">
      <w:pPr>
        <w:pBdr>
          <w:bottom w:val="single" w:sz="12" w:space="21" w:color="auto"/>
        </w:pBdr>
        <w:spacing w:line="360" w:lineRule="exact"/>
        <w:ind w:right="1128"/>
        <w:jc w:val="both"/>
        <w:rPr>
          <w:rFonts w:ascii="Arial" w:hAnsi="Arial" w:cs="Arial"/>
        </w:rPr>
      </w:pPr>
      <w:r w:rsidRPr="00681CF6">
        <w:rPr>
          <w:rFonts w:ascii="Arial" w:hAnsi="Arial" w:cs="Arial"/>
        </w:rPr>
        <w:t>Optimus 2026 ist eine Softwarelösung für den hydraulischen Abgleich und die Heizungsoptimierung. Die Anwendung unterstützt bei der normgerechten Durchführung des hydraulischen Abgleichs sowie bei der Analyse von Heizungsanlagen. Ein integrierter Wärmepumpen-Check ermöglicht die Bewertung bestehender Systeme im Hinblick auf den Einsatz von Wärmepumpen.</w:t>
      </w:r>
    </w:p>
    <w:p w14:paraId="4F1885D6" w14:textId="77777777" w:rsidR="00681CF6" w:rsidRPr="00681CF6" w:rsidRDefault="00681CF6" w:rsidP="00681CF6">
      <w:pPr>
        <w:pBdr>
          <w:bottom w:val="single" w:sz="12" w:space="21" w:color="auto"/>
        </w:pBdr>
        <w:spacing w:line="360" w:lineRule="exact"/>
        <w:ind w:right="1128"/>
        <w:jc w:val="both"/>
        <w:rPr>
          <w:rFonts w:ascii="Arial" w:hAnsi="Arial" w:cs="Arial"/>
        </w:rPr>
      </w:pPr>
    </w:p>
    <w:p w14:paraId="4FD739EE" w14:textId="7AD34D23" w:rsidR="00681CF6" w:rsidRPr="00681CF6" w:rsidRDefault="00681CF6" w:rsidP="00681CF6">
      <w:pPr>
        <w:pBdr>
          <w:bottom w:val="single" w:sz="12" w:space="21" w:color="auto"/>
        </w:pBdr>
        <w:spacing w:line="360" w:lineRule="exact"/>
        <w:ind w:right="1128"/>
        <w:jc w:val="both"/>
        <w:rPr>
          <w:rFonts w:ascii="Arial" w:hAnsi="Arial" w:cs="Arial"/>
          <w:b/>
          <w:bCs/>
        </w:rPr>
      </w:pPr>
      <w:r w:rsidRPr="00681CF6">
        <w:rPr>
          <w:rFonts w:ascii="Arial" w:hAnsi="Arial" w:cs="Arial"/>
          <w:b/>
          <w:bCs/>
        </w:rPr>
        <w:t>Weiterentwicklungen im Bereich LiDAR-Technologie</w:t>
      </w:r>
    </w:p>
    <w:p w14:paraId="22900280" w14:textId="77777777" w:rsidR="00681CF6" w:rsidRPr="00681CF6" w:rsidRDefault="00681CF6" w:rsidP="00681CF6">
      <w:pPr>
        <w:pBdr>
          <w:bottom w:val="single" w:sz="12" w:space="21" w:color="auto"/>
        </w:pBdr>
        <w:spacing w:line="360" w:lineRule="exact"/>
        <w:ind w:right="1128"/>
        <w:jc w:val="both"/>
        <w:rPr>
          <w:rFonts w:ascii="Arial" w:hAnsi="Arial" w:cs="Arial"/>
        </w:rPr>
      </w:pPr>
      <w:r w:rsidRPr="00681CF6">
        <w:rPr>
          <w:rFonts w:ascii="Arial" w:hAnsi="Arial" w:cs="Arial"/>
        </w:rPr>
        <w:t>Die Optimus-App verarbeitet per LiDAR-Scan erfasste Raumdaten und stellt diese als Grundlage für weitere Berechnungen bereit. Mit kompatiblen Endgeräten wie iPad Pro oder iPhone Pro (ab der 12. Generation) können Entfernungen erfasst und in Echtzeit 3D-Modelle erstellt werden.</w:t>
      </w:r>
    </w:p>
    <w:p w14:paraId="09BCA858" w14:textId="77777777" w:rsidR="00681CF6" w:rsidRDefault="00681CF6" w:rsidP="00681CF6">
      <w:pPr>
        <w:pBdr>
          <w:bottom w:val="single" w:sz="12" w:space="21" w:color="auto"/>
        </w:pBdr>
        <w:spacing w:line="360" w:lineRule="exact"/>
        <w:ind w:right="1128"/>
        <w:jc w:val="both"/>
        <w:rPr>
          <w:rFonts w:ascii="Arial" w:hAnsi="Arial" w:cs="Arial"/>
        </w:rPr>
      </w:pPr>
      <w:r w:rsidRPr="00681CF6">
        <w:rPr>
          <w:rFonts w:ascii="Arial" w:hAnsi="Arial" w:cs="Arial"/>
        </w:rPr>
        <w:t>Vorgestellt wird zudem der sogenannte „Etagenscan“, eine geplante Funktion zur schnellen Erfassung mehrerer Räume, aus denen ein zusammenhängendes 3D-Modell einer gesamten Etage generiert wird.</w:t>
      </w:r>
    </w:p>
    <w:p w14:paraId="085D88C7" w14:textId="77777777" w:rsidR="00681CF6" w:rsidRPr="00681CF6" w:rsidRDefault="00681CF6" w:rsidP="00681CF6">
      <w:pPr>
        <w:pBdr>
          <w:bottom w:val="single" w:sz="12" w:space="21" w:color="auto"/>
        </w:pBdr>
        <w:spacing w:line="360" w:lineRule="exact"/>
        <w:ind w:right="1128"/>
        <w:jc w:val="both"/>
        <w:rPr>
          <w:rFonts w:ascii="Arial" w:hAnsi="Arial" w:cs="Arial"/>
        </w:rPr>
      </w:pPr>
    </w:p>
    <w:p w14:paraId="2592E228" w14:textId="77777777" w:rsidR="00681CF6" w:rsidRPr="00681CF6" w:rsidRDefault="00681CF6" w:rsidP="00681CF6">
      <w:pPr>
        <w:pBdr>
          <w:bottom w:val="single" w:sz="12" w:space="21" w:color="auto"/>
        </w:pBdr>
        <w:spacing w:line="360" w:lineRule="exact"/>
        <w:ind w:right="1128"/>
        <w:jc w:val="both"/>
        <w:rPr>
          <w:rFonts w:ascii="Arial" w:hAnsi="Arial" w:cs="Arial"/>
          <w:b/>
          <w:bCs/>
        </w:rPr>
      </w:pPr>
      <w:r w:rsidRPr="00681CF6">
        <w:rPr>
          <w:rFonts w:ascii="Arial" w:hAnsi="Arial" w:cs="Arial"/>
          <w:b/>
          <w:bCs/>
        </w:rPr>
        <w:t>Digitale Gebäudeerfassung in 3D</w:t>
      </w:r>
    </w:p>
    <w:p w14:paraId="0EFAD620" w14:textId="26C1CC0B" w:rsidR="00681CF6" w:rsidRPr="00681CF6" w:rsidRDefault="00681CF6" w:rsidP="00681CF6">
      <w:pPr>
        <w:pBdr>
          <w:bottom w:val="single" w:sz="12" w:space="21" w:color="auto"/>
        </w:pBdr>
        <w:spacing w:line="360" w:lineRule="exact"/>
        <w:ind w:right="1128"/>
        <w:jc w:val="both"/>
        <w:rPr>
          <w:rFonts w:ascii="Arial" w:hAnsi="Arial" w:cs="Arial"/>
        </w:rPr>
      </w:pPr>
      <w:r w:rsidRPr="00681CF6">
        <w:rPr>
          <w:rFonts w:ascii="Arial" w:hAnsi="Arial" w:cs="Arial"/>
        </w:rPr>
        <w:t>Die Hottgenroth Gruppe integriert in ihre technischen Softwareprodukte die CAD-Lösung HottCAD. Die zuschaltbare „Hott-KI“ unterstützt die Gebäudeerfassung, indem sie Grundrisspläne einliest und Bauteile der Gebäudehülle automatisiert erkennt, um daraus ein 3D-Modell zu erstellen</w:t>
      </w:r>
      <w:r w:rsidR="004567DA">
        <w:rPr>
          <w:rFonts w:ascii="Arial" w:hAnsi="Arial" w:cs="Arial"/>
        </w:rPr>
        <w:t>.</w:t>
      </w:r>
    </w:p>
    <w:p w14:paraId="47F548F0" w14:textId="4A3A8134" w:rsidR="00681CF6" w:rsidRDefault="00681CF6" w:rsidP="00681CF6">
      <w:pPr>
        <w:pBdr>
          <w:bottom w:val="single" w:sz="12" w:space="21" w:color="auto"/>
        </w:pBdr>
        <w:spacing w:line="360" w:lineRule="exact"/>
        <w:ind w:right="1128"/>
        <w:jc w:val="both"/>
        <w:rPr>
          <w:rFonts w:ascii="Arial" w:hAnsi="Arial" w:cs="Arial"/>
        </w:rPr>
      </w:pPr>
      <w:r w:rsidRPr="00681CF6">
        <w:rPr>
          <w:rFonts w:ascii="Arial" w:hAnsi="Arial" w:cs="Arial"/>
        </w:rPr>
        <w:t xml:space="preserve">Darüber hinaus präsentiert das Tochterunternehmen HottScan seine </w:t>
      </w:r>
      <w:r w:rsidR="004567DA">
        <w:rPr>
          <w:rFonts w:ascii="Arial" w:hAnsi="Arial" w:cs="Arial"/>
        </w:rPr>
        <w:t>3D-S</w:t>
      </w:r>
      <w:r w:rsidRPr="00681CF6">
        <w:rPr>
          <w:rFonts w:ascii="Arial" w:hAnsi="Arial" w:cs="Arial"/>
        </w:rPr>
        <w:t>canner zu</w:t>
      </w:r>
      <w:r w:rsidR="004567DA">
        <w:rPr>
          <w:rFonts w:ascii="Arial" w:hAnsi="Arial" w:cs="Arial"/>
        </w:rPr>
        <w:t>m</w:t>
      </w:r>
      <w:r w:rsidRPr="00681CF6">
        <w:rPr>
          <w:rFonts w:ascii="Arial" w:hAnsi="Arial" w:cs="Arial"/>
        </w:rPr>
        <w:t xml:space="preserve"> präzise</w:t>
      </w:r>
      <w:r w:rsidR="004567DA">
        <w:rPr>
          <w:rFonts w:ascii="Arial" w:hAnsi="Arial" w:cs="Arial"/>
        </w:rPr>
        <w:t>n</w:t>
      </w:r>
      <w:r w:rsidRPr="00681CF6">
        <w:rPr>
          <w:rFonts w:ascii="Arial" w:hAnsi="Arial" w:cs="Arial"/>
        </w:rPr>
        <w:t xml:space="preserve"> </w:t>
      </w:r>
      <w:r w:rsidR="004567DA">
        <w:rPr>
          <w:rFonts w:ascii="Arial" w:hAnsi="Arial" w:cs="Arial"/>
        </w:rPr>
        <w:t>Raumaufmaß</w:t>
      </w:r>
      <w:r w:rsidRPr="00681CF6">
        <w:rPr>
          <w:rFonts w:ascii="Arial" w:hAnsi="Arial" w:cs="Arial"/>
        </w:rPr>
        <w:t xml:space="preserve">. Ein integrierter Neigungssensor ermöglicht </w:t>
      </w:r>
      <w:r w:rsidRPr="00681CF6">
        <w:rPr>
          <w:rFonts w:ascii="Arial" w:hAnsi="Arial" w:cs="Arial"/>
        </w:rPr>
        <w:lastRenderedPageBreak/>
        <w:t>eine exakte Ausrichtung und unterstützt damit präzise Messergebnisse bei der digitalen Gebäudeerfassung.</w:t>
      </w:r>
    </w:p>
    <w:p w14:paraId="3DB2EB05" w14:textId="77777777" w:rsidR="00681CF6" w:rsidRPr="00681CF6" w:rsidRDefault="00681CF6" w:rsidP="00681CF6">
      <w:pPr>
        <w:pBdr>
          <w:bottom w:val="single" w:sz="12" w:space="21" w:color="auto"/>
        </w:pBdr>
        <w:spacing w:line="360" w:lineRule="exact"/>
        <w:ind w:right="1128"/>
        <w:jc w:val="both"/>
        <w:rPr>
          <w:rFonts w:ascii="Arial" w:hAnsi="Arial" w:cs="Arial"/>
        </w:rPr>
      </w:pPr>
    </w:p>
    <w:p w14:paraId="733B3D24" w14:textId="660B8519" w:rsidR="00681CF6" w:rsidRPr="00681CF6" w:rsidRDefault="00681CF6" w:rsidP="00681CF6">
      <w:pPr>
        <w:pBdr>
          <w:bottom w:val="single" w:sz="12" w:space="21" w:color="auto"/>
        </w:pBdr>
        <w:spacing w:line="360" w:lineRule="exact"/>
        <w:ind w:right="1128"/>
        <w:jc w:val="both"/>
        <w:rPr>
          <w:rFonts w:ascii="Arial" w:hAnsi="Arial" w:cs="Arial"/>
        </w:rPr>
      </w:pPr>
      <w:r w:rsidRPr="00681CF6">
        <w:rPr>
          <w:rFonts w:ascii="Arial" w:hAnsi="Arial" w:cs="Arial"/>
        </w:rPr>
        <w:t>Die Hottgenroth Gruppe informiert in Halle 3A, Stand 103 über ihre aktuellen Entwicklungen und steht während der Messe für fachlichen Austausch und Produktvorführungen zur Verfügung.</w:t>
      </w:r>
      <w:r w:rsidR="004567DA">
        <w:rPr>
          <w:rFonts w:ascii="Arial" w:hAnsi="Arial" w:cs="Arial"/>
        </w:rPr>
        <w:t xml:space="preserve"> </w:t>
      </w:r>
      <w:hyperlink r:id="rId9" w:history="1">
        <w:r w:rsidR="004567DA" w:rsidRPr="00576338">
          <w:rPr>
            <w:rStyle w:val="Hyperlink"/>
            <w:rFonts w:ascii="Arial" w:hAnsi="Arial" w:cs="Arial"/>
          </w:rPr>
          <w:t>Jetzt mehr erfahren!</w:t>
        </w:r>
      </w:hyperlink>
    </w:p>
    <w:p w14:paraId="4C6F00D6" w14:textId="77777777" w:rsidR="00681CF6" w:rsidRPr="008F4E88" w:rsidRDefault="00681CF6" w:rsidP="00031814">
      <w:pPr>
        <w:pBdr>
          <w:bottom w:val="single" w:sz="12" w:space="21" w:color="auto"/>
        </w:pBdr>
        <w:spacing w:line="360" w:lineRule="exact"/>
        <w:ind w:right="1128"/>
        <w:jc w:val="both"/>
        <w:rPr>
          <w:rFonts w:ascii="Arial" w:hAnsi="Arial" w:cs="Arial"/>
        </w:rPr>
      </w:pPr>
    </w:p>
    <w:p w14:paraId="46F88C77" w14:textId="3AFA30CE" w:rsidR="00A118CC" w:rsidRDefault="004567DA" w:rsidP="006B389D">
      <w:pPr>
        <w:pBdr>
          <w:bottom w:val="single" w:sz="12" w:space="21" w:color="auto"/>
        </w:pBdr>
        <w:spacing w:line="360" w:lineRule="exact"/>
        <w:ind w:right="1128"/>
        <w:rPr>
          <w:rFonts w:ascii="Arial" w:hAnsi="Arial" w:cs="Arial"/>
        </w:rPr>
      </w:pPr>
      <w:r>
        <w:rPr>
          <w:rFonts w:ascii="Arial" w:hAnsi="Arial" w:cs="Arial"/>
          <w:b/>
          <w:bCs/>
        </w:rPr>
        <w:t>CTA, Ziel URL</w:t>
      </w:r>
      <w:r w:rsidRPr="004567DA">
        <w:rPr>
          <w:rFonts w:ascii="Arial" w:hAnsi="Arial" w:cs="Arial"/>
        </w:rPr>
        <w:t xml:space="preserve">: </w:t>
      </w:r>
      <w:hyperlink r:id="rId10" w:history="1">
        <w:r w:rsidR="00576338" w:rsidRPr="00411D29">
          <w:rPr>
            <w:rStyle w:val="Hyperlink"/>
            <w:rFonts w:ascii="Arial" w:hAnsi="Arial" w:cs="Arial"/>
          </w:rPr>
          <w:t>https://www.hottgenroth.de/landing-page/ifh/hottgenroth_messe.html?utm_source=Presse&amp;utm_medium=IFH&amp;utm_campaign=LP_27022026</w:t>
        </w:r>
      </w:hyperlink>
    </w:p>
    <w:p w14:paraId="4D638E92" w14:textId="77777777" w:rsidR="00576338" w:rsidRDefault="00576338" w:rsidP="006B389D">
      <w:pPr>
        <w:pBdr>
          <w:bottom w:val="single" w:sz="12" w:space="21" w:color="auto"/>
        </w:pBdr>
        <w:spacing w:line="360" w:lineRule="exact"/>
        <w:ind w:right="1128"/>
        <w:rPr>
          <w:rFonts w:ascii="Arial" w:hAnsi="Arial" w:cs="Arial"/>
          <w:b/>
          <w:bCs/>
        </w:rPr>
      </w:pPr>
    </w:p>
    <w:p w14:paraId="756B5756" w14:textId="77777777" w:rsidR="004567DA" w:rsidRDefault="004567DA" w:rsidP="006B389D">
      <w:pPr>
        <w:pBdr>
          <w:bottom w:val="single" w:sz="12" w:space="21" w:color="auto"/>
        </w:pBdr>
        <w:spacing w:line="360" w:lineRule="exact"/>
        <w:ind w:right="1128"/>
        <w:rPr>
          <w:rFonts w:ascii="Arial" w:hAnsi="Arial" w:cs="Arial"/>
          <w:b/>
          <w:bCs/>
        </w:rPr>
      </w:pPr>
    </w:p>
    <w:p w14:paraId="001A174E" w14:textId="6555D192" w:rsidR="006B389D" w:rsidRDefault="00513DA3" w:rsidP="006B389D">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2.993</w:t>
      </w:r>
      <w:r w:rsidR="004567DA" w:rsidRPr="00576338">
        <w:rPr>
          <w:rFonts w:ascii="Arial" w:hAnsi="Arial" w:cs="Arial"/>
          <w:sz w:val="22"/>
          <w:szCs w:val="22"/>
        </w:rPr>
        <w:t xml:space="preserve"> </w:t>
      </w:r>
      <w:r w:rsidR="006B389D" w:rsidRPr="00576338">
        <w:rPr>
          <w:rFonts w:ascii="Arial" w:hAnsi="Arial" w:cs="Arial"/>
          <w:sz w:val="22"/>
          <w:szCs w:val="22"/>
        </w:rPr>
        <w:t>Zeichen</w:t>
      </w:r>
      <w:r w:rsidR="006B389D" w:rsidRPr="002B431B">
        <w:rPr>
          <w:rFonts w:ascii="Arial" w:hAnsi="Arial" w:cs="Arial"/>
          <w:sz w:val="22"/>
          <w:szCs w:val="22"/>
        </w:rPr>
        <w:t xml:space="preserve"> inklusive Leerzeichen ohne Überschrift</w:t>
      </w:r>
    </w:p>
    <w:p w14:paraId="54AB7278" w14:textId="21B1659B" w:rsidR="0050787E" w:rsidRDefault="006B389D" w:rsidP="00D3340F">
      <w:pPr>
        <w:pBdr>
          <w:bottom w:val="single" w:sz="12" w:space="1" w:color="auto"/>
        </w:pBdr>
        <w:spacing w:line="360" w:lineRule="exact"/>
        <w:ind w:right="1128"/>
        <w:rPr>
          <w:rFonts w:ascii="Arial" w:hAnsi="Arial" w:cs="Arial"/>
        </w:rPr>
      </w:pPr>
      <w:hyperlink r:id="rId11" w:history="1">
        <w:r w:rsidRPr="005D1210">
          <w:rPr>
            <w:rStyle w:val="Hyperlink"/>
            <w:rFonts w:ascii="Arial" w:hAnsi="Arial" w:cs="Arial"/>
          </w:rPr>
          <w:t>www.hottgenroth.de</w:t>
        </w:r>
      </w:hyperlink>
    </w:p>
    <w:p w14:paraId="5D81642C" w14:textId="748D180C" w:rsidR="006B389D" w:rsidRDefault="006B389D" w:rsidP="00D3340F">
      <w:pPr>
        <w:pBdr>
          <w:bottom w:val="single" w:sz="12" w:space="1" w:color="auto"/>
        </w:pBdr>
        <w:spacing w:line="360" w:lineRule="exact"/>
        <w:ind w:right="1128"/>
        <w:rPr>
          <w:rFonts w:ascii="Arial" w:hAnsi="Arial" w:cs="Arial"/>
        </w:rPr>
      </w:pPr>
      <w:r>
        <w:rPr>
          <w:rFonts w:ascii="Arial" w:hAnsi="Arial" w:cs="Arial"/>
        </w:rPr>
        <w:br/>
        <w:t>Autor: Hottgenroth Software AG</w:t>
      </w:r>
    </w:p>
    <w:p w14:paraId="1E3D95C9" w14:textId="06196843" w:rsidR="00724D39" w:rsidRDefault="006B389D" w:rsidP="002B431B">
      <w:pPr>
        <w:pBdr>
          <w:bottom w:val="single" w:sz="12" w:space="1" w:color="auto"/>
        </w:pBdr>
        <w:spacing w:line="360" w:lineRule="exact"/>
        <w:ind w:right="1128"/>
        <w:rPr>
          <w:rFonts w:ascii="Arial" w:hAnsi="Arial" w:cs="Arial"/>
        </w:rPr>
      </w:pPr>
      <w:r>
        <w:rPr>
          <w:rFonts w:ascii="Arial" w:hAnsi="Arial" w:cs="Arial"/>
        </w:rPr>
        <w:t>Copyright: Hottgenroth Software AG</w:t>
      </w:r>
    </w:p>
    <w:p w14:paraId="3512A25D" w14:textId="77777777" w:rsidR="00724D39" w:rsidRPr="00004CF4" w:rsidRDefault="00724D39" w:rsidP="002B431B">
      <w:pPr>
        <w:pBdr>
          <w:bottom w:val="single" w:sz="12" w:space="1" w:color="auto"/>
        </w:pBdr>
        <w:spacing w:line="360" w:lineRule="exact"/>
        <w:ind w:right="1128"/>
        <w:rPr>
          <w:rFonts w:ascii="Arial" w:hAnsi="Arial" w:cs="Arial"/>
        </w:rPr>
      </w:pPr>
    </w:p>
    <w:p w14:paraId="3D315CE8" w14:textId="77777777" w:rsidR="002B431B" w:rsidRDefault="002B431B" w:rsidP="002B431B">
      <w:pPr>
        <w:widowControl w:val="0"/>
        <w:suppressAutoHyphens/>
        <w:autoSpaceDE w:val="0"/>
        <w:autoSpaceDN w:val="0"/>
        <w:adjustRightInd w:val="0"/>
        <w:spacing w:line="360" w:lineRule="exact"/>
        <w:ind w:right="1128"/>
        <w:rPr>
          <w:rFonts w:ascii="Arial" w:hAnsi="Arial" w:cs="Arial"/>
          <w:sz w:val="22"/>
          <w:szCs w:val="22"/>
        </w:rPr>
      </w:pPr>
    </w:p>
    <w:p w14:paraId="70EE5E0D" w14:textId="26A9539A" w:rsidR="002B431B" w:rsidRPr="002B431B" w:rsidRDefault="006B389D" w:rsidP="002B431B">
      <w:pPr>
        <w:spacing w:line="360" w:lineRule="exact"/>
        <w:ind w:right="1128"/>
        <w:rPr>
          <w:rFonts w:ascii="Arial" w:hAnsi="Arial" w:cs="Arial"/>
          <w:sz w:val="22"/>
          <w:szCs w:val="22"/>
        </w:rPr>
      </w:pPr>
      <w:r>
        <w:rPr>
          <w:rFonts w:ascii="Arial" w:hAnsi="Arial" w:cs="Arial"/>
          <w:sz w:val="22"/>
          <w:szCs w:val="22"/>
        </w:rPr>
        <w:t>Bilder und Bildunterschriften:</w:t>
      </w:r>
    </w:p>
    <w:p w14:paraId="41752D13" w14:textId="302B0513" w:rsidR="00E4616E" w:rsidRPr="00942057" w:rsidRDefault="00806513" w:rsidP="00E4616E">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ETU-Planer</w:t>
      </w:r>
    </w:p>
    <w:p w14:paraId="2156A5A3" w14:textId="41175DE9" w:rsidR="00C3792B" w:rsidRPr="00942057" w:rsidRDefault="00806513" w:rsidP="00E4616E">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Optimus</w:t>
      </w:r>
    </w:p>
    <w:p w14:paraId="54A7DED6" w14:textId="77777777" w:rsidR="00806513" w:rsidRPr="0002226A" w:rsidRDefault="00806513" w:rsidP="00806513">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LiDAR Optimus App</w:t>
      </w:r>
    </w:p>
    <w:p w14:paraId="50EE6448" w14:textId="7DC28234" w:rsidR="0002226A" w:rsidRDefault="00806513" w:rsidP="00806513">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HottCAD 3D Modell</w:t>
      </w:r>
    </w:p>
    <w:p w14:paraId="5E6C504A" w14:textId="2B9F7310" w:rsidR="00806513" w:rsidRDefault="00806513" w:rsidP="00806513">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Hott</w:t>
      </w:r>
      <w:r w:rsidR="00325C99">
        <w:rPr>
          <w:rFonts w:ascii="Arial" w:hAnsi="Arial" w:cs="Arial"/>
          <w:sz w:val="22"/>
          <w:szCs w:val="22"/>
        </w:rPr>
        <w:t>-</w:t>
      </w:r>
      <w:r>
        <w:rPr>
          <w:rFonts w:ascii="Arial" w:hAnsi="Arial" w:cs="Arial"/>
          <w:sz w:val="22"/>
          <w:szCs w:val="22"/>
        </w:rPr>
        <w:t>KI</w:t>
      </w:r>
    </w:p>
    <w:p w14:paraId="32E39D42" w14:textId="6B81FAE9" w:rsidR="00806513" w:rsidRDefault="00806513" w:rsidP="00806513">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Nachhaltiger Energieberater Wohnen + Gewerbe</w:t>
      </w:r>
    </w:p>
    <w:sectPr w:rsidR="00806513">
      <w:headerReference w:type="default" r:id="rId12"/>
      <w:footerReference w:type="first" r:id="rId13"/>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EE2C1" w14:textId="77777777" w:rsidR="00434070" w:rsidRDefault="00434070">
      <w:r>
        <w:separator/>
      </w:r>
    </w:p>
  </w:endnote>
  <w:endnote w:type="continuationSeparator" w:id="0">
    <w:p w14:paraId="283105E8" w14:textId="77777777" w:rsidR="00434070" w:rsidRDefault="00434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6D58E" w14:textId="77777777" w:rsidR="00434070" w:rsidRDefault="00434070">
      <w:r>
        <w:separator/>
      </w:r>
    </w:p>
  </w:footnote>
  <w:footnote w:type="continuationSeparator" w:id="0">
    <w:p w14:paraId="50BF698C" w14:textId="77777777" w:rsidR="00434070" w:rsidRDefault="00434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7C7DC9"/>
    <w:multiLevelType w:val="hybridMultilevel"/>
    <w:tmpl w:val="B7246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2"/>
  </w:num>
  <w:num w:numId="2" w16cid:durableId="643587677">
    <w:abstractNumId w:val="0"/>
  </w:num>
  <w:num w:numId="3" w16cid:durableId="1425528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15337"/>
    <w:rsid w:val="0002226A"/>
    <w:rsid w:val="00022711"/>
    <w:rsid w:val="00031814"/>
    <w:rsid w:val="00050EB1"/>
    <w:rsid w:val="000609F4"/>
    <w:rsid w:val="00083754"/>
    <w:rsid w:val="00092646"/>
    <w:rsid w:val="00096193"/>
    <w:rsid w:val="000B777F"/>
    <w:rsid w:val="000D669E"/>
    <w:rsid w:val="000E2E8E"/>
    <w:rsid w:val="00115644"/>
    <w:rsid w:val="001360F0"/>
    <w:rsid w:val="0014185A"/>
    <w:rsid w:val="00141BB4"/>
    <w:rsid w:val="0015732F"/>
    <w:rsid w:val="00162413"/>
    <w:rsid w:val="00166FF8"/>
    <w:rsid w:val="00181638"/>
    <w:rsid w:val="001C3522"/>
    <w:rsid w:val="001D1BE1"/>
    <w:rsid w:val="001F339C"/>
    <w:rsid w:val="002148A7"/>
    <w:rsid w:val="00222197"/>
    <w:rsid w:val="00226C79"/>
    <w:rsid w:val="002327B9"/>
    <w:rsid w:val="0023355D"/>
    <w:rsid w:val="00256790"/>
    <w:rsid w:val="00257A50"/>
    <w:rsid w:val="0026081A"/>
    <w:rsid w:val="002611C3"/>
    <w:rsid w:val="00266BD9"/>
    <w:rsid w:val="002713C4"/>
    <w:rsid w:val="002B431B"/>
    <w:rsid w:val="002C2513"/>
    <w:rsid w:val="002C5DFF"/>
    <w:rsid w:val="002D1C18"/>
    <w:rsid w:val="002D3351"/>
    <w:rsid w:val="002D4FF8"/>
    <w:rsid w:val="00303B9F"/>
    <w:rsid w:val="003060A7"/>
    <w:rsid w:val="00310E94"/>
    <w:rsid w:val="00325C99"/>
    <w:rsid w:val="003446E2"/>
    <w:rsid w:val="00372A89"/>
    <w:rsid w:val="00376667"/>
    <w:rsid w:val="00377035"/>
    <w:rsid w:val="003A1873"/>
    <w:rsid w:val="003A2167"/>
    <w:rsid w:val="003A418E"/>
    <w:rsid w:val="003B3811"/>
    <w:rsid w:val="003E5878"/>
    <w:rsid w:val="003F5DA8"/>
    <w:rsid w:val="003F6E7A"/>
    <w:rsid w:val="0041216A"/>
    <w:rsid w:val="004146A5"/>
    <w:rsid w:val="00430A94"/>
    <w:rsid w:val="00434070"/>
    <w:rsid w:val="0044255D"/>
    <w:rsid w:val="00450CE9"/>
    <w:rsid w:val="004567DA"/>
    <w:rsid w:val="00465EB1"/>
    <w:rsid w:val="00471A08"/>
    <w:rsid w:val="00483914"/>
    <w:rsid w:val="00491C56"/>
    <w:rsid w:val="004928A5"/>
    <w:rsid w:val="0049412D"/>
    <w:rsid w:val="00495668"/>
    <w:rsid w:val="004A2B21"/>
    <w:rsid w:val="004B6228"/>
    <w:rsid w:val="004C636C"/>
    <w:rsid w:val="004F6081"/>
    <w:rsid w:val="00507139"/>
    <w:rsid w:val="0050787E"/>
    <w:rsid w:val="00513DA3"/>
    <w:rsid w:val="00534DEC"/>
    <w:rsid w:val="005362D7"/>
    <w:rsid w:val="00543F14"/>
    <w:rsid w:val="00571C2A"/>
    <w:rsid w:val="00576338"/>
    <w:rsid w:val="005928AB"/>
    <w:rsid w:val="00592D14"/>
    <w:rsid w:val="005A1C2C"/>
    <w:rsid w:val="005A601D"/>
    <w:rsid w:val="005A7286"/>
    <w:rsid w:val="005D78D7"/>
    <w:rsid w:val="005E6E50"/>
    <w:rsid w:val="00601247"/>
    <w:rsid w:val="00601C0B"/>
    <w:rsid w:val="0061415B"/>
    <w:rsid w:val="0061623F"/>
    <w:rsid w:val="00621C21"/>
    <w:rsid w:val="006248D2"/>
    <w:rsid w:val="00645D05"/>
    <w:rsid w:val="00652BE1"/>
    <w:rsid w:val="006746A9"/>
    <w:rsid w:val="00681CF6"/>
    <w:rsid w:val="00692195"/>
    <w:rsid w:val="00692DA7"/>
    <w:rsid w:val="006B389D"/>
    <w:rsid w:val="006E5978"/>
    <w:rsid w:val="006E7C9B"/>
    <w:rsid w:val="00700D8D"/>
    <w:rsid w:val="00716D82"/>
    <w:rsid w:val="00724D39"/>
    <w:rsid w:val="0074275D"/>
    <w:rsid w:val="00742D0B"/>
    <w:rsid w:val="00745624"/>
    <w:rsid w:val="00745664"/>
    <w:rsid w:val="007835D5"/>
    <w:rsid w:val="0078606F"/>
    <w:rsid w:val="007879EB"/>
    <w:rsid w:val="00795A73"/>
    <w:rsid w:val="007B268A"/>
    <w:rsid w:val="007B3653"/>
    <w:rsid w:val="007B7890"/>
    <w:rsid w:val="00806513"/>
    <w:rsid w:val="00822003"/>
    <w:rsid w:val="008319CD"/>
    <w:rsid w:val="008442EF"/>
    <w:rsid w:val="00860969"/>
    <w:rsid w:val="008631D8"/>
    <w:rsid w:val="00867BA2"/>
    <w:rsid w:val="00871C26"/>
    <w:rsid w:val="00876DB6"/>
    <w:rsid w:val="00882368"/>
    <w:rsid w:val="00891E69"/>
    <w:rsid w:val="008A28AC"/>
    <w:rsid w:val="008A7084"/>
    <w:rsid w:val="008D298D"/>
    <w:rsid w:val="008D51DC"/>
    <w:rsid w:val="008D7F85"/>
    <w:rsid w:val="008F6D8F"/>
    <w:rsid w:val="00907A27"/>
    <w:rsid w:val="00916515"/>
    <w:rsid w:val="00917BC5"/>
    <w:rsid w:val="00942057"/>
    <w:rsid w:val="00945346"/>
    <w:rsid w:val="009615BE"/>
    <w:rsid w:val="009765E5"/>
    <w:rsid w:val="0099533B"/>
    <w:rsid w:val="009A4946"/>
    <w:rsid w:val="009B251D"/>
    <w:rsid w:val="009B5E62"/>
    <w:rsid w:val="009C1D18"/>
    <w:rsid w:val="00A05D45"/>
    <w:rsid w:val="00A118CC"/>
    <w:rsid w:val="00A21FA6"/>
    <w:rsid w:val="00A3628C"/>
    <w:rsid w:val="00A50725"/>
    <w:rsid w:val="00AA139E"/>
    <w:rsid w:val="00AA5F71"/>
    <w:rsid w:val="00AB7FCC"/>
    <w:rsid w:val="00AC679F"/>
    <w:rsid w:val="00AE5025"/>
    <w:rsid w:val="00AF2D08"/>
    <w:rsid w:val="00AF6EC5"/>
    <w:rsid w:val="00B017A4"/>
    <w:rsid w:val="00B11456"/>
    <w:rsid w:val="00B169C7"/>
    <w:rsid w:val="00B176E3"/>
    <w:rsid w:val="00B26FA5"/>
    <w:rsid w:val="00B342F4"/>
    <w:rsid w:val="00B46378"/>
    <w:rsid w:val="00B47BA7"/>
    <w:rsid w:val="00B6198A"/>
    <w:rsid w:val="00B7465C"/>
    <w:rsid w:val="00B801BC"/>
    <w:rsid w:val="00B929CA"/>
    <w:rsid w:val="00BB4241"/>
    <w:rsid w:val="00BB454A"/>
    <w:rsid w:val="00BC665E"/>
    <w:rsid w:val="00BF21FE"/>
    <w:rsid w:val="00C02964"/>
    <w:rsid w:val="00C1213E"/>
    <w:rsid w:val="00C1593C"/>
    <w:rsid w:val="00C3792B"/>
    <w:rsid w:val="00C4304D"/>
    <w:rsid w:val="00C57990"/>
    <w:rsid w:val="00C57A88"/>
    <w:rsid w:val="00C6280F"/>
    <w:rsid w:val="00C66D66"/>
    <w:rsid w:val="00C815D0"/>
    <w:rsid w:val="00CA03DB"/>
    <w:rsid w:val="00CB4634"/>
    <w:rsid w:val="00CD677E"/>
    <w:rsid w:val="00D01B88"/>
    <w:rsid w:val="00D04A7E"/>
    <w:rsid w:val="00D3340F"/>
    <w:rsid w:val="00D44449"/>
    <w:rsid w:val="00D66684"/>
    <w:rsid w:val="00D71FEF"/>
    <w:rsid w:val="00D74FDE"/>
    <w:rsid w:val="00D91FDF"/>
    <w:rsid w:val="00DB049E"/>
    <w:rsid w:val="00DB36C4"/>
    <w:rsid w:val="00DC23BA"/>
    <w:rsid w:val="00DE5573"/>
    <w:rsid w:val="00DF18D2"/>
    <w:rsid w:val="00E16D93"/>
    <w:rsid w:val="00E2133B"/>
    <w:rsid w:val="00E414D7"/>
    <w:rsid w:val="00E459AB"/>
    <w:rsid w:val="00E4616E"/>
    <w:rsid w:val="00E51979"/>
    <w:rsid w:val="00E53D95"/>
    <w:rsid w:val="00E77967"/>
    <w:rsid w:val="00E94BCD"/>
    <w:rsid w:val="00EA5D08"/>
    <w:rsid w:val="00EB6945"/>
    <w:rsid w:val="00EC1CB6"/>
    <w:rsid w:val="00EC74CC"/>
    <w:rsid w:val="00ED7290"/>
    <w:rsid w:val="00EE32CE"/>
    <w:rsid w:val="00EF4F53"/>
    <w:rsid w:val="00EF54C8"/>
    <w:rsid w:val="00EF76C7"/>
    <w:rsid w:val="00F33524"/>
    <w:rsid w:val="00F54A92"/>
    <w:rsid w:val="00F60F51"/>
    <w:rsid w:val="00F63CA4"/>
    <w:rsid w:val="00F63CA5"/>
    <w:rsid w:val="00F6511D"/>
    <w:rsid w:val="00F735C1"/>
    <w:rsid w:val="00F73928"/>
    <w:rsid w:val="00F8010F"/>
    <w:rsid w:val="00F94550"/>
    <w:rsid w:val="00F959B1"/>
    <w:rsid w:val="00F962C8"/>
    <w:rsid w:val="00FA2470"/>
    <w:rsid w:val="00FA6575"/>
    <w:rsid w:val="00FB7CD0"/>
    <w:rsid w:val="00FC5679"/>
    <w:rsid w:val="00FD33C2"/>
    <w:rsid w:val="00FD4DE2"/>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46771D9C-7B81-416C-B3A7-6B62DF3FB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E4616E"/>
    <w:pPr>
      <w:ind w:left="720"/>
      <w:contextualSpacing/>
    </w:pPr>
  </w:style>
  <w:style w:type="character" w:styleId="BesuchterLink">
    <w:name w:val="FollowedHyperlink"/>
    <w:basedOn w:val="Absatz-Standardschriftart"/>
    <w:uiPriority w:val="99"/>
    <w:semiHidden/>
    <w:unhideWhenUsed/>
    <w:rsid w:val="005763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ottgenroth.d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hottgenroth.de/landing-page/ifh/hottgenroth_messe.html?utm_source=Presse&amp;utm_medium=IFH&amp;utm_campaign=LP_27022026" TargetMode="External"/><Relationship Id="rId4" Type="http://schemas.openxmlformats.org/officeDocument/2006/relationships/settings" Target="settings.xml"/><Relationship Id="rId9" Type="http://schemas.openxmlformats.org/officeDocument/2006/relationships/hyperlink" Target="https://www.hottgenroth.de/landing-page/ifh/hottgenroth_messe.html?utm_source=Presse&amp;utm_medium=IFH&amp;utm_campaign=LP_2702202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9E3E3-078A-4B80-B409-204500BC8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532</Words>
  <Characters>3357</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3882</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dc:description/>
  <cp:lastModifiedBy>Thea Konrad</cp:lastModifiedBy>
  <cp:revision>10</cp:revision>
  <cp:lastPrinted>2020-06-19T12:45:00Z</cp:lastPrinted>
  <dcterms:created xsi:type="dcterms:W3CDTF">2025-01-21T14:26:00Z</dcterms:created>
  <dcterms:modified xsi:type="dcterms:W3CDTF">2026-03-02T08:07:00Z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