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FD4239" w14:textId="1AA50386" w:rsidR="00C1593C" w:rsidRPr="00465EB1" w:rsidRDefault="00181638" w:rsidP="00AC757F">
      <w:pPr>
        <w:pStyle w:val="Sprechblasentext"/>
        <w:tabs>
          <w:tab w:val="left" w:pos="3514"/>
          <w:tab w:val="left" w:pos="6033"/>
        </w:tabs>
        <w:spacing w:line="360" w:lineRule="exact"/>
        <w:rPr>
          <w:rFonts w:ascii="Arial" w:hAnsi="Arial" w:cs="Arial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076C52EA" wp14:editId="61B59214">
            <wp:simplePos x="0" y="0"/>
            <wp:positionH relativeFrom="leftMargin">
              <wp:align>right</wp:align>
            </wp:positionH>
            <wp:positionV relativeFrom="paragraph">
              <wp:posOffset>-564515</wp:posOffset>
            </wp:positionV>
            <wp:extent cx="1640205" cy="704850"/>
            <wp:effectExtent l="0" t="0" r="0" b="0"/>
            <wp:wrapNone/>
            <wp:docPr id="1" name="Bild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Bild 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020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sz w:val="18"/>
          <w:szCs w:val="18"/>
        </w:rPr>
        <w:tab/>
        <w:t xml:space="preserve">                                  </w:t>
      </w:r>
      <w:r w:rsidR="006B389D">
        <w:rPr>
          <w:rFonts w:ascii="Arial" w:hAnsi="Arial" w:cs="Arial"/>
          <w:sz w:val="18"/>
          <w:szCs w:val="18"/>
        </w:rPr>
        <w:t>Januar</w:t>
      </w:r>
      <w:r w:rsidR="00A50725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202</w:t>
      </w:r>
      <w:r w:rsidR="001E45A4">
        <w:rPr>
          <w:rFonts w:ascii="Arial" w:hAnsi="Arial" w:cs="Arial"/>
          <w:sz w:val="18"/>
          <w:szCs w:val="18"/>
        </w:rPr>
        <w:t>6</w:t>
      </w:r>
      <w:r w:rsidRPr="00465EB1">
        <w:rPr>
          <w:rFonts w:ascii="Arial" w:hAnsi="Arial" w:cs="Arial"/>
          <w:sz w:val="22"/>
          <w:szCs w:val="22"/>
        </w:rPr>
        <w:tab/>
      </w:r>
    </w:p>
    <w:p w14:paraId="609DC21E" w14:textId="77777777" w:rsidR="009A4946" w:rsidRDefault="009A4946" w:rsidP="00AC757F">
      <w:pPr>
        <w:pBdr>
          <w:bottom w:val="single" w:sz="12" w:space="21" w:color="auto"/>
        </w:pBdr>
        <w:spacing w:line="360" w:lineRule="exact"/>
        <w:ind w:right="1128"/>
        <w:rPr>
          <w:rFonts w:ascii="Arial" w:hAnsi="Arial" w:cs="Arial"/>
          <w:b/>
          <w:bCs/>
        </w:rPr>
      </w:pPr>
    </w:p>
    <w:p w14:paraId="7B6FCE9C" w14:textId="2ABD10D6" w:rsidR="00D3340F" w:rsidRDefault="008F4E88" w:rsidP="00AC757F">
      <w:pPr>
        <w:pBdr>
          <w:bottom w:val="single" w:sz="12" w:space="21" w:color="auto"/>
        </w:pBdr>
        <w:spacing w:line="360" w:lineRule="exact"/>
        <w:ind w:right="1128"/>
        <w:rPr>
          <w:rFonts w:ascii="Arial" w:hAnsi="Arial" w:cs="Arial"/>
          <w:b/>
          <w:bCs/>
        </w:rPr>
      </w:pPr>
      <w:r w:rsidRPr="008F4E88">
        <w:rPr>
          <w:rFonts w:ascii="Arial" w:hAnsi="Arial" w:cs="Arial"/>
          <w:b/>
          <w:bCs/>
        </w:rPr>
        <w:t xml:space="preserve">Digitale Lösungen für Energie, Bau und Kommunen: Hottgenroth Software AG auf der </w:t>
      </w:r>
      <w:proofErr w:type="spellStart"/>
      <w:r w:rsidRPr="008F4E88">
        <w:rPr>
          <w:rFonts w:ascii="Arial" w:hAnsi="Arial" w:cs="Arial"/>
          <w:b/>
          <w:bCs/>
        </w:rPr>
        <w:t>digitalBAU</w:t>
      </w:r>
      <w:proofErr w:type="spellEnd"/>
      <w:r w:rsidRPr="008F4E88">
        <w:rPr>
          <w:rFonts w:ascii="Arial" w:hAnsi="Arial" w:cs="Arial"/>
          <w:b/>
          <w:bCs/>
        </w:rPr>
        <w:t xml:space="preserve"> 2026</w:t>
      </w:r>
    </w:p>
    <w:p w14:paraId="74D76B4F" w14:textId="77777777" w:rsidR="008F4E88" w:rsidRPr="00D3340F" w:rsidRDefault="008F4E88" w:rsidP="00AC757F">
      <w:pPr>
        <w:pBdr>
          <w:bottom w:val="single" w:sz="12" w:space="21" w:color="auto"/>
        </w:pBdr>
        <w:spacing w:line="360" w:lineRule="exact"/>
        <w:ind w:right="1128"/>
        <w:rPr>
          <w:rFonts w:ascii="Arial" w:hAnsi="Arial" w:cs="Arial"/>
        </w:rPr>
      </w:pPr>
    </w:p>
    <w:p w14:paraId="42727F44" w14:textId="238E3778" w:rsidR="008F4E88" w:rsidRDefault="008F4E88" w:rsidP="00AC757F">
      <w:pPr>
        <w:pBdr>
          <w:bottom w:val="single" w:sz="12" w:space="21" w:color="auto"/>
        </w:pBdr>
        <w:spacing w:line="360" w:lineRule="exact"/>
        <w:ind w:right="1128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12</w:t>
      </w:r>
      <w:r w:rsidR="00372A89">
        <w:rPr>
          <w:rFonts w:ascii="Arial" w:hAnsi="Arial" w:cs="Arial"/>
          <w:b/>
          <w:bCs/>
        </w:rPr>
        <w:t>.01</w:t>
      </w:r>
      <w:r w:rsidR="00EB6945">
        <w:rPr>
          <w:rFonts w:ascii="Arial" w:hAnsi="Arial" w:cs="Arial"/>
          <w:b/>
          <w:bCs/>
        </w:rPr>
        <w:t>.202</w:t>
      </w:r>
      <w:r w:rsidR="001E45A4">
        <w:rPr>
          <w:rFonts w:ascii="Arial" w:hAnsi="Arial" w:cs="Arial"/>
          <w:b/>
          <w:bCs/>
        </w:rPr>
        <w:t>6</w:t>
      </w:r>
      <w:r w:rsidR="00EB6945">
        <w:rPr>
          <w:rFonts w:ascii="Arial" w:hAnsi="Arial" w:cs="Arial"/>
          <w:b/>
          <w:bCs/>
        </w:rPr>
        <w:t>, Köln:</w:t>
      </w:r>
      <w:r w:rsidR="00A118CC">
        <w:rPr>
          <w:rFonts w:ascii="Arial" w:hAnsi="Arial" w:cs="Arial"/>
          <w:b/>
          <w:bCs/>
        </w:rPr>
        <w:t xml:space="preserve"> </w:t>
      </w:r>
      <w:r w:rsidRPr="008F4E88">
        <w:rPr>
          <w:rFonts w:ascii="Arial" w:hAnsi="Arial" w:cs="Arial"/>
        </w:rPr>
        <w:t xml:space="preserve">Die </w:t>
      </w:r>
      <w:r w:rsidRPr="008F4E88">
        <w:rPr>
          <w:rFonts w:ascii="Arial" w:hAnsi="Arial" w:cs="Arial"/>
          <w:b/>
          <w:bCs/>
        </w:rPr>
        <w:t>Hottgenroth Software AG</w:t>
      </w:r>
      <w:r w:rsidRPr="008F4E88">
        <w:rPr>
          <w:rFonts w:ascii="Arial" w:hAnsi="Arial" w:cs="Arial"/>
        </w:rPr>
        <w:t xml:space="preserve"> präsentiert sich auf der </w:t>
      </w:r>
      <w:proofErr w:type="spellStart"/>
      <w:r w:rsidRPr="008F4E88">
        <w:rPr>
          <w:rFonts w:ascii="Arial" w:hAnsi="Arial" w:cs="Arial"/>
          <w:b/>
          <w:bCs/>
        </w:rPr>
        <w:t>digitalBAU</w:t>
      </w:r>
      <w:proofErr w:type="spellEnd"/>
      <w:r w:rsidRPr="008F4E88">
        <w:rPr>
          <w:rFonts w:ascii="Arial" w:hAnsi="Arial" w:cs="Arial"/>
          <w:b/>
          <w:bCs/>
        </w:rPr>
        <w:t xml:space="preserve"> 2026</w:t>
      </w:r>
      <w:r w:rsidRPr="008F4E88">
        <w:rPr>
          <w:rFonts w:ascii="Arial" w:hAnsi="Arial" w:cs="Arial"/>
        </w:rPr>
        <w:t xml:space="preserve"> als ganzheitlicher Digitalisierungspartner für Energieberatung, technische Gebäudeausrüstung und öffentliche Auftraggeber</w:t>
      </w:r>
      <w:r w:rsidR="00211FC8">
        <w:rPr>
          <w:rFonts w:ascii="Arial" w:hAnsi="Arial" w:cs="Arial"/>
        </w:rPr>
        <w:t xml:space="preserve">. Zu finden sind sie während der Messe </w:t>
      </w:r>
      <w:r w:rsidR="00211FC8" w:rsidRPr="00211FC8">
        <w:rPr>
          <w:rFonts w:ascii="Arial" w:hAnsi="Arial" w:cs="Arial"/>
          <w:b/>
          <w:bCs/>
        </w:rPr>
        <w:t>zwischen 24.-26</w:t>
      </w:r>
      <w:r w:rsidR="00960575">
        <w:rPr>
          <w:rFonts w:ascii="Arial" w:hAnsi="Arial" w:cs="Arial"/>
          <w:b/>
          <w:bCs/>
        </w:rPr>
        <w:t>.</w:t>
      </w:r>
      <w:r w:rsidR="00211FC8" w:rsidRPr="00211FC8">
        <w:rPr>
          <w:rFonts w:ascii="Arial" w:hAnsi="Arial" w:cs="Arial"/>
          <w:b/>
          <w:bCs/>
        </w:rPr>
        <w:t xml:space="preserve"> </w:t>
      </w:r>
      <w:r w:rsidR="0048134B">
        <w:rPr>
          <w:rFonts w:ascii="Arial" w:hAnsi="Arial" w:cs="Arial"/>
          <w:b/>
          <w:bCs/>
        </w:rPr>
        <w:t xml:space="preserve">März </w:t>
      </w:r>
      <w:r w:rsidR="00211FC8" w:rsidRPr="00211FC8">
        <w:rPr>
          <w:rFonts w:ascii="Arial" w:hAnsi="Arial" w:cs="Arial"/>
          <w:b/>
          <w:bCs/>
        </w:rPr>
        <w:t>in Köln</w:t>
      </w:r>
      <w:r w:rsidR="00211FC8">
        <w:rPr>
          <w:rFonts w:ascii="Arial" w:hAnsi="Arial" w:cs="Arial"/>
        </w:rPr>
        <w:t>,</w:t>
      </w:r>
      <w:r w:rsidR="00015F7A">
        <w:rPr>
          <w:rFonts w:ascii="Arial" w:hAnsi="Arial" w:cs="Arial"/>
        </w:rPr>
        <w:t xml:space="preserve"> in </w:t>
      </w:r>
      <w:r w:rsidR="00015F7A" w:rsidRPr="00211FC8">
        <w:rPr>
          <w:rFonts w:ascii="Arial" w:hAnsi="Arial" w:cs="Arial"/>
          <w:b/>
          <w:bCs/>
        </w:rPr>
        <w:t>Halle 8, am Stand 103</w:t>
      </w:r>
      <w:r w:rsidRPr="008F4E88">
        <w:rPr>
          <w:rFonts w:ascii="Arial" w:hAnsi="Arial" w:cs="Arial"/>
        </w:rPr>
        <w:t xml:space="preserve">. Im Mittelpunkt des Messeauftritts stehen </w:t>
      </w:r>
      <w:r w:rsidRPr="00211FC8">
        <w:rPr>
          <w:rFonts w:ascii="Arial" w:hAnsi="Arial" w:cs="Arial"/>
          <w:b/>
          <w:bCs/>
        </w:rPr>
        <w:t>praxisnahe Softwarelösungen</w:t>
      </w:r>
      <w:r w:rsidRPr="008F4E88">
        <w:rPr>
          <w:rFonts w:ascii="Arial" w:hAnsi="Arial" w:cs="Arial"/>
        </w:rPr>
        <w:t xml:space="preserve"> für die energetische Bewertung von Gebäuden, cloudbasierte Anwendungen für kaufmännische und administrative Prozesse sowie innovative Aufmaß- und Scanlösungen zur Digitalisierung von Bestandsgebäuden – insbesondere für Kommunen.</w:t>
      </w:r>
    </w:p>
    <w:p w14:paraId="61FB2FB4" w14:textId="77777777" w:rsidR="008F4E88" w:rsidRPr="008F4E88" w:rsidRDefault="008F4E88" w:rsidP="00AC757F">
      <w:pPr>
        <w:pBdr>
          <w:bottom w:val="single" w:sz="12" w:space="21" w:color="auto"/>
        </w:pBdr>
        <w:spacing w:line="360" w:lineRule="exact"/>
        <w:ind w:right="1128"/>
        <w:rPr>
          <w:rFonts w:ascii="Arial" w:hAnsi="Arial" w:cs="Arial"/>
        </w:rPr>
      </w:pPr>
    </w:p>
    <w:p w14:paraId="3D89333D" w14:textId="7424DD8D" w:rsidR="008F4E88" w:rsidRPr="008F4E88" w:rsidRDefault="008F4E88" w:rsidP="00AC757F">
      <w:pPr>
        <w:pBdr>
          <w:bottom w:val="single" w:sz="12" w:space="21" w:color="auto"/>
        </w:pBdr>
        <w:spacing w:line="360" w:lineRule="exact"/>
        <w:ind w:right="1128"/>
        <w:rPr>
          <w:rFonts w:ascii="Arial" w:hAnsi="Arial" w:cs="Arial"/>
        </w:rPr>
      </w:pPr>
      <w:r w:rsidRPr="008F4E88">
        <w:rPr>
          <w:rFonts w:ascii="Arial" w:hAnsi="Arial" w:cs="Arial"/>
        </w:rPr>
        <w:t xml:space="preserve">Die </w:t>
      </w:r>
      <w:proofErr w:type="spellStart"/>
      <w:r w:rsidRPr="008F4E88">
        <w:rPr>
          <w:rFonts w:ascii="Arial" w:hAnsi="Arial" w:cs="Arial"/>
        </w:rPr>
        <w:t>digitalBAU</w:t>
      </w:r>
      <w:proofErr w:type="spellEnd"/>
      <w:r w:rsidRPr="008F4E88">
        <w:rPr>
          <w:rFonts w:ascii="Arial" w:hAnsi="Arial" w:cs="Arial"/>
        </w:rPr>
        <w:t xml:space="preserve"> bietet den idealen Rahmen, um zu zeigen, wie sich komplexe Anforderungen aus </w:t>
      </w:r>
      <w:r w:rsidRPr="008F4E88">
        <w:rPr>
          <w:rFonts w:ascii="Arial" w:hAnsi="Arial" w:cs="Arial"/>
          <w:b/>
          <w:bCs/>
        </w:rPr>
        <w:t>GEG, Nachhaltigkeit und Digitalisierung</w:t>
      </w:r>
      <w:r w:rsidRPr="008F4E88">
        <w:rPr>
          <w:rFonts w:ascii="Arial" w:hAnsi="Arial" w:cs="Arial"/>
        </w:rPr>
        <w:t xml:space="preserve"> effizient und durchgängig abbilden lassen – von der Bestandsaufnahme bis zur Auswertung und Dokumentation.</w:t>
      </w:r>
    </w:p>
    <w:p w14:paraId="47E7F2F0" w14:textId="77777777" w:rsidR="00476536" w:rsidRDefault="00476536" w:rsidP="00AC757F">
      <w:pPr>
        <w:pBdr>
          <w:bottom w:val="single" w:sz="12" w:space="21" w:color="auto"/>
        </w:pBdr>
        <w:spacing w:line="360" w:lineRule="exact"/>
        <w:ind w:right="1128"/>
        <w:rPr>
          <w:rFonts w:ascii="Arial" w:hAnsi="Arial" w:cs="Arial"/>
        </w:rPr>
      </w:pPr>
    </w:p>
    <w:p w14:paraId="3E1939DF" w14:textId="1D39A7D2" w:rsidR="008F4E88" w:rsidRPr="008F4E88" w:rsidRDefault="00343539" w:rsidP="00AC757F">
      <w:pPr>
        <w:pBdr>
          <w:bottom w:val="single" w:sz="12" w:space="21" w:color="auto"/>
        </w:pBdr>
        <w:spacing w:line="360" w:lineRule="exact"/>
        <w:ind w:right="1128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Energetische Bewertung, Wärmepumpen-Beratung und vieles mehr</w:t>
      </w:r>
    </w:p>
    <w:p w14:paraId="68CDF14F" w14:textId="5463DECD" w:rsidR="008F4E88" w:rsidRPr="008F4E88" w:rsidRDefault="008F4E88" w:rsidP="00AC757F">
      <w:pPr>
        <w:pBdr>
          <w:bottom w:val="single" w:sz="12" w:space="21" w:color="auto"/>
        </w:pBdr>
        <w:spacing w:line="360" w:lineRule="exact"/>
        <w:ind w:right="1128"/>
        <w:rPr>
          <w:rFonts w:ascii="Arial" w:hAnsi="Arial" w:cs="Arial"/>
        </w:rPr>
      </w:pPr>
      <w:r w:rsidRPr="008F4E88">
        <w:rPr>
          <w:rFonts w:ascii="Arial" w:hAnsi="Arial" w:cs="Arial"/>
        </w:rPr>
        <w:t xml:space="preserve">Ein zentrales Thema </w:t>
      </w:r>
      <w:r w:rsidR="00343539">
        <w:rPr>
          <w:rFonts w:ascii="Arial" w:hAnsi="Arial" w:cs="Arial"/>
        </w:rPr>
        <w:t>des Kölner Softwareunternehmens</w:t>
      </w:r>
      <w:r w:rsidRPr="008F4E88">
        <w:rPr>
          <w:rFonts w:ascii="Arial" w:hAnsi="Arial" w:cs="Arial"/>
        </w:rPr>
        <w:t xml:space="preserve"> ist die </w:t>
      </w:r>
      <w:r w:rsidRPr="008F4E88">
        <w:rPr>
          <w:rFonts w:ascii="Arial" w:hAnsi="Arial" w:cs="Arial"/>
          <w:b/>
          <w:bCs/>
        </w:rPr>
        <w:t>digitale Energie- und TGA-Planung</w:t>
      </w:r>
      <w:r w:rsidRPr="008F4E88">
        <w:rPr>
          <w:rFonts w:ascii="Arial" w:hAnsi="Arial" w:cs="Arial"/>
        </w:rPr>
        <w:t>. Hottgenroth Software zeigt Lösungen zur normgerechten Berechnung und Bewertung von Gebäuden – von der klassischen Heizlast bis zur ganzheitlichen energetischen Betrachtung.</w:t>
      </w:r>
    </w:p>
    <w:p w14:paraId="3FAF409C" w14:textId="1667529D" w:rsidR="008F4E88" w:rsidRDefault="008F4E88" w:rsidP="00AC757F">
      <w:pPr>
        <w:pBdr>
          <w:bottom w:val="single" w:sz="12" w:space="21" w:color="auto"/>
        </w:pBdr>
        <w:spacing w:line="360" w:lineRule="exact"/>
        <w:ind w:right="1128"/>
        <w:rPr>
          <w:rFonts w:ascii="Arial" w:hAnsi="Arial" w:cs="Arial"/>
        </w:rPr>
      </w:pPr>
      <w:r w:rsidRPr="008F4E88">
        <w:rPr>
          <w:rFonts w:ascii="Arial" w:hAnsi="Arial" w:cs="Arial"/>
        </w:rPr>
        <w:lastRenderedPageBreak/>
        <w:t xml:space="preserve">Mit dem </w:t>
      </w:r>
      <w:r w:rsidRPr="008F4E88">
        <w:rPr>
          <w:rFonts w:ascii="Arial" w:hAnsi="Arial" w:cs="Arial"/>
          <w:b/>
          <w:bCs/>
        </w:rPr>
        <w:t>GEG-Berater</w:t>
      </w:r>
      <w:r w:rsidRPr="008F4E88">
        <w:rPr>
          <w:rFonts w:ascii="Arial" w:hAnsi="Arial" w:cs="Arial"/>
        </w:rPr>
        <w:t xml:space="preserve"> lassen sich gesetzliche Anforderungen effizient erfüllen und verständlich dokumentieren. Ergänzt wird dies durch den </w:t>
      </w:r>
      <w:r w:rsidRPr="008F4E88">
        <w:rPr>
          <w:rFonts w:ascii="Arial" w:hAnsi="Arial" w:cs="Arial"/>
          <w:b/>
          <w:bCs/>
        </w:rPr>
        <w:t>Wärmepumpen-Berater</w:t>
      </w:r>
      <w:r w:rsidRPr="008F4E88">
        <w:rPr>
          <w:rFonts w:ascii="Arial" w:hAnsi="Arial" w:cs="Arial"/>
        </w:rPr>
        <w:t>, der eine fundierte Auslegung moderner Wärmepumpensysteme ermöglicht und bei der technischen und wirtschaftlichen Bewertung unterstützt.</w:t>
      </w:r>
      <w:r w:rsidRPr="008F4E88">
        <w:rPr>
          <w:rFonts w:ascii="Arial" w:hAnsi="Arial" w:cs="Arial"/>
        </w:rPr>
        <w:br/>
        <w:t xml:space="preserve">Ein weiterer Schwerpunkt liegt auf der </w:t>
      </w:r>
      <w:r w:rsidRPr="008F4E88">
        <w:rPr>
          <w:rFonts w:ascii="Arial" w:hAnsi="Arial" w:cs="Arial"/>
          <w:b/>
          <w:bCs/>
        </w:rPr>
        <w:t>Ökobilanzierung von Gebäuden</w:t>
      </w:r>
      <w:r w:rsidRPr="008F4E88">
        <w:rPr>
          <w:rFonts w:ascii="Arial" w:hAnsi="Arial" w:cs="Arial"/>
        </w:rPr>
        <w:t>, mit der sich Nachhaltigkeitsaspekte transparent darstellen und in Planungs- und Entscheidungsprozesse integrieren lassen.</w:t>
      </w:r>
    </w:p>
    <w:p w14:paraId="42DB933A" w14:textId="77777777" w:rsidR="00343539" w:rsidRPr="008F4E88" w:rsidRDefault="00343539" w:rsidP="00AC757F">
      <w:pPr>
        <w:pBdr>
          <w:bottom w:val="single" w:sz="12" w:space="21" w:color="auto"/>
        </w:pBdr>
        <w:spacing w:line="360" w:lineRule="exact"/>
        <w:ind w:right="1128"/>
        <w:rPr>
          <w:rFonts w:ascii="Arial" w:hAnsi="Arial" w:cs="Arial"/>
        </w:rPr>
      </w:pPr>
    </w:p>
    <w:p w14:paraId="7C17B5BD" w14:textId="7CABFE45" w:rsidR="008F4E88" w:rsidRPr="008F4E88" w:rsidRDefault="008F4E88" w:rsidP="00AC757F">
      <w:pPr>
        <w:pBdr>
          <w:bottom w:val="single" w:sz="12" w:space="21" w:color="auto"/>
        </w:pBdr>
        <w:spacing w:line="360" w:lineRule="exact"/>
        <w:ind w:right="1128"/>
        <w:rPr>
          <w:rFonts w:ascii="Arial" w:hAnsi="Arial" w:cs="Arial"/>
          <w:b/>
          <w:bCs/>
        </w:rPr>
      </w:pPr>
      <w:r w:rsidRPr="008F4E88">
        <w:rPr>
          <w:rFonts w:ascii="Arial" w:hAnsi="Arial" w:cs="Arial"/>
          <w:b/>
          <w:bCs/>
        </w:rPr>
        <w:t>Cloud-Lösungen für kaufmännische und administrative Prozesse</w:t>
      </w:r>
    </w:p>
    <w:p w14:paraId="34A4179C" w14:textId="77777777" w:rsidR="008F4E88" w:rsidRPr="008F4E88" w:rsidRDefault="008F4E88" w:rsidP="00AC757F">
      <w:pPr>
        <w:pBdr>
          <w:bottom w:val="single" w:sz="12" w:space="21" w:color="auto"/>
        </w:pBdr>
        <w:spacing w:line="360" w:lineRule="exact"/>
        <w:ind w:right="1128"/>
        <w:rPr>
          <w:rFonts w:ascii="Arial" w:hAnsi="Arial" w:cs="Arial"/>
        </w:rPr>
      </w:pPr>
      <w:r w:rsidRPr="008F4E88">
        <w:rPr>
          <w:rFonts w:ascii="Arial" w:hAnsi="Arial" w:cs="Arial"/>
        </w:rPr>
        <w:t xml:space="preserve">Im Bereich der cloudbasierten Anwendungen präsentiert Hottgenroth Software mit </w:t>
      </w:r>
      <w:r w:rsidRPr="008F4E88">
        <w:rPr>
          <w:rFonts w:ascii="Arial" w:hAnsi="Arial" w:cs="Arial"/>
          <w:b/>
          <w:bCs/>
        </w:rPr>
        <w:t>E-Kaufmann</w:t>
      </w:r>
      <w:r w:rsidRPr="008F4E88">
        <w:rPr>
          <w:rFonts w:ascii="Arial" w:hAnsi="Arial" w:cs="Arial"/>
        </w:rPr>
        <w:t xml:space="preserve"> und </w:t>
      </w:r>
      <w:r w:rsidRPr="008F4E88">
        <w:rPr>
          <w:rFonts w:ascii="Arial" w:hAnsi="Arial" w:cs="Arial"/>
          <w:b/>
          <w:bCs/>
        </w:rPr>
        <w:t>Grundsteine Premium</w:t>
      </w:r>
      <w:r w:rsidRPr="008F4E88">
        <w:rPr>
          <w:rFonts w:ascii="Arial" w:hAnsi="Arial" w:cs="Arial"/>
        </w:rPr>
        <w:t xml:space="preserve"> leistungsfähige Lösungen für eine moderne, digitale Organisation.</w:t>
      </w:r>
    </w:p>
    <w:p w14:paraId="79F8DCCB" w14:textId="463E1F77" w:rsidR="008F4E88" w:rsidRDefault="008F4E88" w:rsidP="00AC757F">
      <w:pPr>
        <w:pBdr>
          <w:bottom w:val="single" w:sz="12" w:space="21" w:color="auto"/>
        </w:pBdr>
        <w:spacing w:line="360" w:lineRule="exact"/>
        <w:ind w:right="1128"/>
        <w:rPr>
          <w:rFonts w:ascii="Arial" w:hAnsi="Arial" w:cs="Arial"/>
        </w:rPr>
      </w:pPr>
      <w:r w:rsidRPr="008F4E88">
        <w:rPr>
          <w:rFonts w:ascii="Arial" w:hAnsi="Arial" w:cs="Arial"/>
        </w:rPr>
        <w:t xml:space="preserve">Die Cloud-Produkte ermöglichen eine standortunabhängige Nutzung, transparente Datenhaltung und eine effiziente Zusammenarbeit – insbesondere für Unternehmen, Planungsbüros und </w:t>
      </w:r>
      <w:r w:rsidR="00343539">
        <w:rPr>
          <w:rFonts w:ascii="Arial" w:hAnsi="Arial" w:cs="Arial"/>
        </w:rPr>
        <w:t>Betrieben</w:t>
      </w:r>
      <w:r w:rsidRPr="008F4E88">
        <w:rPr>
          <w:rFonts w:ascii="Arial" w:hAnsi="Arial" w:cs="Arial"/>
        </w:rPr>
        <w:t xml:space="preserve"> mit mehreren Beteiligten.</w:t>
      </w:r>
      <w:r w:rsidRPr="008F4E88">
        <w:rPr>
          <w:rFonts w:ascii="Arial" w:hAnsi="Arial" w:cs="Arial"/>
        </w:rPr>
        <w:br/>
        <w:t>Von kaufmännischen Abläufen über Projekt- und Objektverwaltung bis hin zu zentralen Datenstrukturen bieten die Cloud-Lösungen eine stabile Grundlage für skalierbare, digitale Geschäftsprozesse im Bau- und Energiebereich.</w:t>
      </w:r>
    </w:p>
    <w:p w14:paraId="2606C32A" w14:textId="77777777" w:rsidR="00343539" w:rsidRPr="008F4E88" w:rsidRDefault="00343539" w:rsidP="00AC757F">
      <w:pPr>
        <w:pBdr>
          <w:bottom w:val="single" w:sz="12" w:space="21" w:color="auto"/>
        </w:pBdr>
        <w:spacing w:line="360" w:lineRule="exact"/>
        <w:ind w:right="1128"/>
        <w:rPr>
          <w:rFonts w:ascii="Arial" w:hAnsi="Arial" w:cs="Arial"/>
        </w:rPr>
      </w:pPr>
    </w:p>
    <w:p w14:paraId="5B3B5AF2" w14:textId="41878974" w:rsidR="008F4E88" w:rsidRPr="008F4E88" w:rsidRDefault="008F4E88" w:rsidP="00AC757F">
      <w:pPr>
        <w:pBdr>
          <w:bottom w:val="single" w:sz="12" w:space="21" w:color="auto"/>
        </w:pBdr>
        <w:spacing w:line="360" w:lineRule="exact"/>
        <w:ind w:right="1128"/>
        <w:rPr>
          <w:rFonts w:ascii="Arial" w:hAnsi="Arial" w:cs="Arial"/>
          <w:b/>
          <w:bCs/>
        </w:rPr>
      </w:pPr>
      <w:proofErr w:type="spellStart"/>
      <w:r w:rsidRPr="008F4E88">
        <w:rPr>
          <w:rFonts w:ascii="Arial" w:hAnsi="Arial" w:cs="Arial"/>
          <w:b/>
          <w:bCs/>
        </w:rPr>
        <w:t>Aufmaßlösungen</w:t>
      </w:r>
      <w:proofErr w:type="spellEnd"/>
      <w:r w:rsidRPr="008F4E88">
        <w:rPr>
          <w:rFonts w:ascii="Arial" w:hAnsi="Arial" w:cs="Arial"/>
          <w:b/>
          <w:bCs/>
        </w:rPr>
        <w:t xml:space="preserve"> </w:t>
      </w:r>
      <w:r w:rsidR="00343539">
        <w:rPr>
          <w:rFonts w:ascii="Arial" w:hAnsi="Arial" w:cs="Arial"/>
          <w:b/>
          <w:bCs/>
        </w:rPr>
        <w:t xml:space="preserve">zur </w:t>
      </w:r>
      <w:r w:rsidRPr="008F4E88">
        <w:rPr>
          <w:rFonts w:ascii="Arial" w:hAnsi="Arial" w:cs="Arial"/>
          <w:b/>
          <w:bCs/>
        </w:rPr>
        <w:t xml:space="preserve">Digitalisierung von </w:t>
      </w:r>
      <w:r w:rsidR="00343539">
        <w:rPr>
          <w:rFonts w:ascii="Arial" w:hAnsi="Arial" w:cs="Arial"/>
          <w:b/>
          <w:bCs/>
        </w:rPr>
        <w:t>Gebäuden</w:t>
      </w:r>
    </w:p>
    <w:p w14:paraId="0F1CD1DB" w14:textId="77777777" w:rsidR="008F4E88" w:rsidRPr="008F4E88" w:rsidRDefault="008F4E88" w:rsidP="00AC757F">
      <w:pPr>
        <w:pBdr>
          <w:bottom w:val="single" w:sz="12" w:space="21" w:color="auto"/>
        </w:pBdr>
        <w:spacing w:line="360" w:lineRule="exact"/>
        <w:ind w:right="1128"/>
        <w:rPr>
          <w:rFonts w:ascii="Arial" w:hAnsi="Arial" w:cs="Arial"/>
        </w:rPr>
      </w:pPr>
      <w:r w:rsidRPr="008F4E88">
        <w:rPr>
          <w:rFonts w:ascii="Arial" w:hAnsi="Arial" w:cs="Arial"/>
        </w:rPr>
        <w:t xml:space="preserve">Ein weiterer Schwerpunkt liegt auf der </w:t>
      </w:r>
      <w:r w:rsidRPr="008F4E88">
        <w:rPr>
          <w:rFonts w:ascii="Arial" w:hAnsi="Arial" w:cs="Arial"/>
          <w:b/>
          <w:bCs/>
        </w:rPr>
        <w:t>digitalen Bestandsaufnahme</w:t>
      </w:r>
      <w:r w:rsidRPr="008F4E88">
        <w:rPr>
          <w:rFonts w:ascii="Arial" w:hAnsi="Arial" w:cs="Arial"/>
        </w:rPr>
        <w:t xml:space="preserve">. Mit </w:t>
      </w:r>
      <w:proofErr w:type="spellStart"/>
      <w:r w:rsidRPr="008F4E88">
        <w:rPr>
          <w:rFonts w:ascii="Arial" w:hAnsi="Arial" w:cs="Arial"/>
          <w:b/>
          <w:bCs/>
        </w:rPr>
        <w:t>HottScan</w:t>
      </w:r>
      <w:proofErr w:type="spellEnd"/>
      <w:r w:rsidRPr="008F4E88">
        <w:rPr>
          <w:rFonts w:ascii="Arial" w:hAnsi="Arial" w:cs="Arial"/>
        </w:rPr>
        <w:t xml:space="preserve"> und weiteren </w:t>
      </w:r>
      <w:proofErr w:type="spellStart"/>
      <w:r w:rsidRPr="008F4E88">
        <w:rPr>
          <w:rFonts w:ascii="Arial" w:hAnsi="Arial" w:cs="Arial"/>
        </w:rPr>
        <w:t>Aufmaßlösungen</w:t>
      </w:r>
      <w:proofErr w:type="spellEnd"/>
      <w:r w:rsidRPr="008F4E88">
        <w:rPr>
          <w:rFonts w:ascii="Arial" w:hAnsi="Arial" w:cs="Arial"/>
        </w:rPr>
        <w:t xml:space="preserve"> zeigt Hottgenroth Software, wie Gebäude schnell, präzise und digital erfasst werden </w:t>
      </w:r>
      <w:r w:rsidRPr="008F4E88">
        <w:rPr>
          <w:rFonts w:ascii="Arial" w:hAnsi="Arial" w:cs="Arial"/>
        </w:rPr>
        <w:lastRenderedPageBreak/>
        <w:t>können – als Grundlage für Energieberatung, Sanierungsplanung und kommunale Digitalisierungsstrategien.</w:t>
      </w:r>
    </w:p>
    <w:p w14:paraId="5FAB6D2A" w14:textId="77777777" w:rsidR="008F4E88" w:rsidRDefault="008F4E88" w:rsidP="00AC757F">
      <w:pPr>
        <w:pBdr>
          <w:bottom w:val="single" w:sz="12" w:space="21" w:color="auto"/>
        </w:pBdr>
        <w:spacing w:line="360" w:lineRule="exact"/>
        <w:ind w:right="1128"/>
        <w:rPr>
          <w:rFonts w:ascii="Arial" w:hAnsi="Arial" w:cs="Arial"/>
        </w:rPr>
      </w:pPr>
      <w:r w:rsidRPr="008F4E88">
        <w:rPr>
          <w:rFonts w:ascii="Arial" w:hAnsi="Arial" w:cs="Arial"/>
        </w:rPr>
        <w:t xml:space="preserve">Insbesondere für </w:t>
      </w:r>
      <w:r w:rsidRPr="008F4E88">
        <w:rPr>
          <w:rFonts w:ascii="Arial" w:hAnsi="Arial" w:cs="Arial"/>
          <w:b/>
          <w:bCs/>
        </w:rPr>
        <w:t>Kommunen</w:t>
      </w:r>
      <w:r w:rsidRPr="008F4E88">
        <w:rPr>
          <w:rFonts w:ascii="Arial" w:hAnsi="Arial" w:cs="Arial"/>
        </w:rPr>
        <w:t xml:space="preserve"> bieten die Lösungen einen klaren Mehrwert: Gebäude lassen sich effizient digitalisieren, strukturiert dokumentieren und für weitere Planungs- und Entscheidungsprozesse nutzbar machen. Damit unterstützt Hottgenroth Software Städte und Gemeinden aktiv bei der Umsetzung von Digitalisierungs- und Klimaschutzzielen.</w:t>
      </w:r>
    </w:p>
    <w:p w14:paraId="5B61C9BE" w14:textId="77777777" w:rsidR="00343539" w:rsidRPr="008F4E88" w:rsidRDefault="00343539" w:rsidP="00AC757F">
      <w:pPr>
        <w:pBdr>
          <w:bottom w:val="single" w:sz="12" w:space="21" w:color="auto"/>
        </w:pBdr>
        <w:spacing w:line="360" w:lineRule="exact"/>
        <w:ind w:right="1128"/>
        <w:rPr>
          <w:rFonts w:ascii="Arial" w:hAnsi="Arial" w:cs="Arial"/>
        </w:rPr>
      </w:pPr>
    </w:p>
    <w:p w14:paraId="4877D80C" w14:textId="77777777" w:rsidR="008F4E88" w:rsidRPr="008F4E88" w:rsidRDefault="008F4E88" w:rsidP="00AC757F">
      <w:pPr>
        <w:pBdr>
          <w:bottom w:val="single" w:sz="12" w:space="21" w:color="auto"/>
        </w:pBdr>
        <w:spacing w:line="360" w:lineRule="exact"/>
        <w:ind w:right="1128"/>
        <w:rPr>
          <w:rFonts w:ascii="Arial" w:hAnsi="Arial" w:cs="Arial"/>
          <w:b/>
          <w:bCs/>
        </w:rPr>
      </w:pPr>
      <w:r w:rsidRPr="008F4E88">
        <w:rPr>
          <w:rFonts w:ascii="Arial" w:hAnsi="Arial" w:cs="Arial"/>
          <w:b/>
          <w:bCs/>
        </w:rPr>
        <w:t>Digitalisierung ganzheitlich gedacht</w:t>
      </w:r>
    </w:p>
    <w:p w14:paraId="38A82099" w14:textId="77777777" w:rsidR="008F4E88" w:rsidRPr="008F4E88" w:rsidRDefault="008F4E88" w:rsidP="00AC757F">
      <w:pPr>
        <w:pBdr>
          <w:bottom w:val="single" w:sz="12" w:space="21" w:color="auto"/>
        </w:pBdr>
        <w:spacing w:line="360" w:lineRule="exact"/>
        <w:ind w:right="1128"/>
        <w:rPr>
          <w:rFonts w:ascii="Arial" w:hAnsi="Arial" w:cs="Arial"/>
        </w:rPr>
      </w:pPr>
      <w:r w:rsidRPr="008F4E88">
        <w:rPr>
          <w:rFonts w:ascii="Arial" w:hAnsi="Arial" w:cs="Arial"/>
        </w:rPr>
        <w:t xml:space="preserve">Auf der </w:t>
      </w:r>
      <w:proofErr w:type="spellStart"/>
      <w:r w:rsidRPr="008F4E88">
        <w:rPr>
          <w:rFonts w:ascii="Arial" w:hAnsi="Arial" w:cs="Arial"/>
        </w:rPr>
        <w:t>digitalBAU</w:t>
      </w:r>
      <w:proofErr w:type="spellEnd"/>
      <w:r w:rsidRPr="008F4E88">
        <w:rPr>
          <w:rFonts w:ascii="Arial" w:hAnsi="Arial" w:cs="Arial"/>
        </w:rPr>
        <w:t xml:space="preserve"> 2026 zeigt Hottgenroth Software, wie sich </w:t>
      </w:r>
      <w:r w:rsidRPr="008F4E88">
        <w:rPr>
          <w:rFonts w:ascii="Arial" w:hAnsi="Arial" w:cs="Arial"/>
          <w:b/>
          <w:bCs/>
        </w:rPr>
        <w:t>Energie, TGA, kaufmännische Prozesse und Bestandsdigitalisierung</w:t>
      </w:r>
      <w:r w:rsidRPr="008F4E88">
        <w:rPr>
          <w:rFonts w:ascii="Arial" w:hAnsi="Arial" w:cs="Arial"/>
        </w:rPr>
        <w:t xml:space="preserve"> in einer durchgängigen Softwarelandschaft verbinden lassen. Der Fokus liegt dabei stets auf Praxistauglichkeit, Normkonformität und einem klaren Mehrwert für Anwender aus Planung, Handwerk und öffentlicher Verwaltung.</w:t>
      </w:r>
    </w:p>
    <w:p w14:paraId="3FFA266B" w14:textId="2FF75DFB" w:rsidR="008F4E88" w:rsidRDefault="008F4E88" w:rsidP="00AC757F">
      <w:pPr>
        <w:pBdr>
          <w:bottom w:val="single" w:sz="12" w:space="21" w:color="auto"/>
        </w:pBdr>
        <w:spacing w:line="360" w:lineRule="exact"/>
        <w:ind w:right="1128"/>
        <w:rPr>
          <w:rFonts w:ascii="Arial" w:hAnsi="Arial" w:cs="Arial"/>
        </w:rPr>
      </w:pPr>
      <w:r w:rsidRPr="008F4E88">
        <w:rPr>
          <w:rFonts w:ascii="Arial" w:hAnsi="Arial" w:cs="Arial"/>
        </w:rPr>
        <w:t xml:space="preserve">Messebesucher sind herzlich eingeladen, sich vor Ort </w:t>
      </w:r>
      <w:r w:rsidR="00015F7A">
        <w:rPr>
          <w:rFonts w:ascii="Arial" w:hAnsi="Arial" w:cs="Arial"/>
        </w:rPr>
        <w:t xml:space="preserve">in Halle 8, am Stand 103, </w:t>
      </w:r>
      <w:r w:rsidRPr="008F4E88">
        <w:rPr>
          <w:rFonts w:ascii="Arial" w:hAnsi="Arial" w:cs="Arial"/>
        </w:rPr>
        <w:t>über die Lösungen und Neuheiten zu informieren und die Software live zu erleben.</w:t>
      </w:r>
      <w:r w:rsidR="00015F7A">
        <w:rPr>
          <w:rFonts w:ascii="Arial" w:hAnsi="Arial" w:cs="Arial"/>
        </w:rPr>
        <w:t xml:space="preserve"> Wenn Sie noch eine Freikarte zur Messe benötigen, können Sie sich einen Termin bei der Hottgenroth Gruppe buchen und erhalten freien Eintritt: </w:t>
      </w:r>
      <w:hyperlink r:id="rId8" w:history="1">
        <w:r w:rsidR="00015F7A" w:rsidRPr="00995A85">
          <w:rPr>
            <w:rStyle w:val="Hyperlink"/>
            <w:rFonts w:ascii="Arial" w:hAnsi="Arial" w:cs="Arial"/>
          </w:rPr>
          <w:t>https://outlook.office.com/book/Messekalender@hottgenroth.de/s/zXzWigQH_0aHgNw6UpnXmw2?ismsaljsauthenabled</w:t>
        </w:r>
      </w:hyperlink>
    </w:p>
    <w:p w14:paraId="6E6E6A66" w14:textId="77777777" w:rsidR="00343539" w:rsidRPr="008F4E88" w:rsidRDefault="00343539" w:rsidP="00AC757F">
      <w:pPr>
        <w:pBdr>
          <w:bottom w:val="single" w:sz="12" w:space="21" w:color="auto"/>
        </w:pBdr>
        <w:spacing w:line="360" w:lineRule="exact"/>
        <w:ind w:right="1128"/>
        <w:rPr>
          <w:rFonts w:ascii="Arial" w:hAnsi="Arial" w:cs="Arial"/>
        </w:rPr>
      </w:pPr>
    </w:p>
    <w:p w14:paraId="7AA0B115" w14:textId="77777777" w:rsidR="008F4E88" w:rsidRPr="008F4E88" w:rsidRDefault="008F4E88" w:rsidP="00AC757F">
      <w:pPr>
        <w:pBdr>
          <w:bottom w:val="single" w:sz="12" w:space="21" w:color="auto"/>
        </w:pBdr>
        <w:spacing w:line="360" w:lineRule="exact"/>
        <w:ind w:right="1128"/>
        <w:rPr>
          <w:rFonts w:ascii="Arial" w:hAnsi="Arial" w:cs="Arial"/>
          <w:b/>
          <w:bCs/>
        </w:rPr>
      </w:pPr>
      <w:r w:rsidRPr="008F4E88">
        <w:rPr>
          <w:rFonts w:ascii="Arial" w:hAnsi="Arial" w:cs="Arial"/>
          <w:b/>
          <w:bCs/>
        </w:rPr>
        <w:t>Über Hottgenroth Software AG</w:t>
      </w:r>
    </w:p>
    <w:p w14:paraId="01B66726" w14:textId="77777777" w:rsidR="008F4E88" w:rsidRPr="008F4E88" w:rsidRDefault="008F4E88" w:rsidP="00AC757F">
      <w:pPr>
        <w:pBdr>
          <w:bottom w:val="single" w:sz="12" w:space="21" w:color="auto"/>
        </w:pBdr>
        <w:spacing w:line="360" w:lineRule="exact"/>
        <w:ind w:right="1128"/>
        <w:rPr>
          <w:rFonts w:ascii="Arial" w:hAnsi="Arial" w:cs="Arial"/>
        </w:rPr>
      </w:pPr>
      <w:r w:rsidRPr="008F4E88">
        <w:rPr>
          <w:rFonts w:ascii="Arial" w:hAnsi="Arial" w:cs="Arial"/>
        </w:rPr>
        <w:t xml:space="preserve">Die Hottgenroth Software AG entwickelt seit 1996 Softwarelösungen für Energieeffizienz, Gebäudetechnik und das Bauwesen. Das Portfolio richtet sich unter anderem an Energieberater, Planer, </w:t>
      </w:r>
      <w:r w:rsidRPr="008F4E88">
        <w:rPr>
          <w:rFonts w:ascii="Arial" w:hAnsi="Arial" w:cs="Arial"/>
        </w:rPr>
        <w:lastRenderedPageBreak/>
        <w:t>Handwerksbetriebe, Kommunen und Wohnungswirtschaft und umfasst CAD-, TGA-, Energie- und kaufmännische Anwendungen. Ziel ist es, komplexe Prozesse einfach, effizient und digital abbildbar zu machen.</w:t>
      </w:r>
    </w:p>
    <w:p w14:paraId="4D9FBB4D" w14:textId="77777777" w:rsidR="008F4E88" w:rsidRPr="008F4E88" w:rsidRDefault="008F4E88" w:rsidP="00AC757F">
      <w:pPr>
        <w:pBdr>
          <w:bottom w:val="single" w:sz="12" w:space="21" w:color="auto"/>
        </w:pBdr>
        <w:spacing w:line="360" w:lineRule="exact"/>
        <w:ind w:right="1128"/>
        <w:rPr>
          <w:rFonts w:ascii="Arial" w:hAnsi="Arial" w:cs="Arial"/>
        </w:rPr>
      </w:pPr>
      <w:r w:rsidRPr="008F4E88">
        <w:rPr>
          <w:rFonts w:ascii="Arial" w:hAnsi="Arial" w:cs="Arial"/>
        </w:rPr>
        <w:t xml:space="preserve">Weitere Informationen unter: </w:t>
      </w:r>
      <w:hyperlink r:id="rId9" w:tgtFrame="_new" w:history="1">
        <w:r w:rsidRPr="008F4E88">
          <w:rPr>
            <w:rStyle w:val="Hyperlink"/>
            <w:rFonts w:ascii="Arial" w:hAnsi="Arial" w:cs="Arial"/>
            <w:b/>
            <w:bCs/>
          </w:rPr>
          <w:t>www.hottgenroth.de</w:t>
        </w:r>
      </w:hyperlink>
    </w:p>
    <w:p w14:paraId="001A174E" w14:textId="65AC4276" w:rsidR="006B389D" w:rsidRDefault="00343539" w:rsidP="00AC757F">
      <w:pPr>
        <w:widowControl w:val="0"/>
        <w:suppressAutoHyphens/>
        <w:autoSpaceDE w:val="0"/>
        <w:autoSpaceDN w:val="0"/>
        <w:adjustRightInd w:val="0"/>
        <w:spacing w:line="360" w:lineRule="exact"/>
        <w:ind w:right="112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3.880</w:t>
      </w:r>
      <w:r w:rsidR="001E45A4">
        <w:rPr>
          <w:rFonts w:ascii="Arial" w:hAnsi="Arial" w:cs="Arial"/>
          <w:sz w:val="22"/>
          <w:szCs w:val="22"/>
        </w:rPr>
        <w:t xml:space="preserve"> </w:t>
      </w:r>
      <w:r w:rsidR="006B389D" w:rsidRPr="002B431B">
        <w:rPr>
          <w:rFonts w:ascii="Arial" w:hAnsi="Arial" w:cs="Arial"/>
          <w:sz w:val="22"/>
          <w:szCs w:val="22"/>
        </w:rPr>
        <w:t>Zeichen inklusive Leerzeichen ohne Überschrift</w:t>
      </w:r>
    </w:p>
    <w:p w14:paraId="54AB7278" w14:textId="21B1659B" w:rsidR="0050787E" w:rsidRDefault="006B389D" w:rsidP="00AC757F">
      <w:pPr>
        <w:pBdr>
          <w:bottom w:val="single" w:sz="12" w:space="1" w:color="auto"/>
        </w:pBdr>
        <w:spacing w:line="360" w:lineRule="exact"/>
        <w:ind w:right="1128"/>
        <w:rPr>
          <w:rFonts w:ascii="Arial" w:hAnsi="Arial" w:cs="Arial"/>
        </w:rPr>
      </w:pPr>
      <w:hyperlink r:id="rId10" w:history="1">
        <w:r w:rsidRPr="005D1210">
          <w:rPr>
            <w:rStyle w:val="Hyperlink"/>
            <w:rFonts w:ascii="Arial" w:hAnsi="Arial" w:cs="Arial"/>
          </w:rPr>
          <w:t>www.hottgenroth.de</w:t>
        </w:r>
      </w:hyperlink>
    </w:p>
    <w:p w14:paraId="5D81642C" w14:textId="748D180C" w:rsidR="006B389D" w:rsidRDefault="006B389D" w:rsidP="00AC757F">
      <w:pPr>
        <w:pBdr>
          <w:bottom w:val="single" w:sz="12" w:space="1" w:color="auto"/>
        </w:pBdr>
        <w:spacing w:line="360" w:lineRule="exact"/>
        <w:ind w:right="1128"/>
        <w:rPr>
          <w:rFonts w:ascii="Arial" w:hAnsi="Arial" w:cs="Arial"/>
        </w:rPr>
      </w:pPr>
      <w:r>
        <w:rPr>
          <w:rFonts w:ascii="Arial" w:hAnsi="Arial" w:cs="Arial"/>
        </w:rPr>
        <w:br/>
        <w:t>Autor: Hottgenroth Software AG</w:t>
      </w:r>
    </w:p>
    <w:p w14:paraId="1E3D95C9" w14:textId="06196843" w:rsidR="00724D39" w:rsidRDefault="006B389D" w:rsidP="00AC757F">
      <w:pPr>
        <w:pBdr>
          <w:bottom w:val="single" w:sz="12" w:space="1" w:color="auto"/>
        </w:pBdr>
        <w:spacing w:line="360" w:lineRule="exact"/>
        <w:ind w:right="1128"/>
        <w:rPr>
          <w:rFonts w:ascii="Arial" w:hAnsi="Arial" w:cs="Arial"/>
        </w:rPr>
      </w:pPr>
      <w:r>
        <w:rPr>
          <w:rFonts w:ascii="Arial" w:hAnsi="Arial" w:cs="Arial"/>
        </w:rPr>
        <w:t>Copyright: Hottgenroth Software AG</w:t>
      </w:r>
    </w:p>
    <w:p w14:paraId="3512A25D" w14:textId="77777777" w:rsidR="00724D39" w:rsidRPr="00004CF4" w:rsidRDefault="00724D39" w:rsidP="00AC757F">
      <w:pPr>
        <w:pBdr>
          <w:bottom w:val="single" w:sz="12" w:space="1" w:color="auto"/>
        </w:pBdr>
        <w:spacing w:line="360" w:lineRule="exact"/>
        <w:ind w:right="1128"/>
        <w:rPr>
          <w:rFonts w:ascii="Arial" w:hAnsi="Arial" w:cs="Arial"/>
        </w:rPr>
      </w:pPr>
    </w:p>
    <w:p w14:paraId="3D315CE8" w14:textId="77777777" w:rsidR="002B431B" w:rsidRDefault="002B431B" w:rsidP="00AC757F">
      <w:pPr>
        <w:widowControl w:val="0"/>
        <w:suppressAutoHyphens/>
        <w:autoSpaceDE w:val="0"/>
        <w:autoSpaceDN w:val="0"/>
        <w:adjustRightInd w:val="0"/>
        <w:spacing w:line="360" w:lineRule="exact"/>
        <w:ind w:right="1128"/>
        <w:rPr>
          <w:rFonts w:ascii="Arial" w:hAnsi="Arial" w:cs="Arial"/>
          <w:sz w:val="22"/>
          <w:szCs w:val="22"/>
        </w:rPr>
      </w:pPr>
    </w:p>
    <w:p w14:paraId="70EE5E0D" w14:textId="26A9539A" w:rsidR="002B431B" w:rsidRPr="002B431B" w:rsidRDefault="006B389D" w:rsidP="00AC757F">
      <w:pPr>
        <w:spacing w:line="360" w:lineRule="exact"/>
        <w:ind w:right="112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Bilder und Bildunterschriften:</w:t>
      </w:r>
    </w:p>
    <w:p w14:paraId="4D8567C8" w14:textId="7873C314" w:rsidR="00C3792B" w:rsidRDefault="00FB7672" w:rsidP="00AC757F">
      <w:pPr>
        <w:pStyle w:val="Listenabsatz"/>
        <w:widowControl w:val="0"/>
        <w:numPr>
          <w:ilvl w:val="0"/>
          <w:numId w:val="3"/>
        </w:numPr>
        <w:suppressAutoHyphens/>
        <w:autoSpaceDE w:val="0"/>
        <w:autoSpaceDN w:val="0"/>
        <w:adjustRightInd w:val="0"/>
        <w:spacing w:line="360" w:lineRule="exact"/>
        <w:ind w:right="1128"/>
        <w:rPr>
          <w:rFonts w:ascii="Arial" w:hAnsi="Arial" w:cs="Arial"/>
          <w:sz w:val="22"/>
          <w:szCs w:val="22"/>
        </w:rPr>
      </w:pPr>
      <w:r w:rsidRPr="00FB7672">
        <w:rPr>
          <w:rFonts w:ascii="Arial" w:hAnsi="Arial" w:cs="Arial"/>
          <w:sz w:val="22"/>
          <w:szCs w:val="22"/>
        </w:rPr>
        <w:t>GEG-Berater: Effizientes Erfüllen der gesetzlichen Anforderungen und verständliches Dokumentieren</w:t>
      </w:r>
    </w:p>
    <w:p w14:paraId="35A43D11" w14:textId="25937E8B" w:rsidR="00FB7672" w:rsidRDefault="00FB7672" w:rsidP="00AC757F">
      <w:pPr>
        <w:pStyle w:val="Listenabsatz"/>
        <w:widowControl w:val="0"/>
        <w:numPr>
          <w:ilvl w:val="0"/>
          <w:numId w:val="3"/>
        </w:numPr>
        <w:suppressAutoHyphens/>
        <w:autoSpaceDE w:val="0"/>
        <w:autoSpaceDN w:val="0"/>
        <w:adjustRightInd w:val="0"/>
        <w:spacing w:line="360" w:lineRule="exact"/>
        <w:ind w:right="1128"/>
        <w:rPr>
          <w:rFonts w:ascii="Arial" w:hAnsi="Arial" w:cs="Arial"/>
          <w:sz w:val="22"/>
          <w:szCs w:val="22"/>
        </w:rPr>
      </w:pPr>
      <w:r w:rsidRPr="00FB7672">
        <w:rPr>
          <w:rFonts w:ascii="Arial" w:hAnsi="Arial" w:cs="Arial"/>
          <w:sz w:val="22"/>
          <w:szCs w:val="22"/>
        </w:rPr>
        <w:t>Wärmepumpen</w:t>
      </w:r>
      <w:r>
        <w:rPr>
          <w:rFonts w:ascii="Arial" w:hAnsi="Arial" w:cs="Arial"/>
          <w:sz w:val="22"/>
          <w:szCs w:val="22"/>
        </w:rPr>
        <w:t>-B</w:t>
      </w:r>
      <w:r w:rsidRPr="00FB7672">
        <w:rPr>
          <w:rFonts w:ascii="Arial" w:hAnsi="Arial" w:cs="Arial"/>
          <w:sz w:val="22"/>
          <w:szCs w:val="22"/>
        </w:rPr>
        <w:t>erater: Ermöglichung einer fundierten Auslegung moderner Wärmepumpen, Unterstützung bei technischer und wirtschaftlicher Bewertung</w:t>
      </w:r>
    </w:p>
    <w:p w14:paraId="6B55B208" w14:textId="52C82BC0" w:rsidR="00FB7672" w:rsidRDefault="00FB7672" w:rsidP="00AC757F">
      <w:pPr>
        <w:pStyle w:val="Listenabsatz"/>
        <w:widowControl w:val="0"/>
        <w:numPr>
          <w:ilvl w:val="0"/>
          <w:numId w:val="3"/>
        </w:numPr>
        <w:suppressAutoHyphens/>
        <w:autoSpaceDE w:val="0"/>
        <w:autoSpaceDN w:val="0"/>
        <w:adjustRightInd w:val="0"/>
        <w:spacing w:line="360" w:lineRule="exact"/>
        <w:ind w:right="1128"/>
        <w:rPr>
          <w:rFonts w:ascii="Arial" w:hAnsi="Arial" w:cs="Arial"/>
          <w:sz w:val="22"/>
          <w:szCs w:val="22"/>
        </w:rPr>
      </w:pPr>
      <w:r w:rsidRPr="00FB7672">
        <w:rPr>
          <w:rFonts w:ascii="Arial" w:hAnsi="Arial" w:cs="Arial"/>
          <w:sz w:val="22"/>
          <w:szCs w:val="22"/>
        </w:rPr>
        <w:t>Ökobilanzierungen (ECO-CAD): Transparente Darstellung der Nachhaltigkeitsaspekte</w:t>
      </w:r>
    </w:p>
    <w:p w14:paraId="1FCFA502" w14:textId="5F5FF8CE" w:rsidR="00FB7672" w:rsidRDefault="00FB7672" w:rsidP="00AC757F">
      <w:pPr>
        <w:pStyle w:val="Listenabsatz"/>
        <w:widowControl w:val="0"/>
        <w:numPr>
          <w:ilvl w:val="0"/>
          <w:numId w:val="3"/>
        </w:numPr>
        <w:suppressAutoHyphens/>
        <w:autoSpaceDE w:val="0"/>
        <w:autoSpaceDN w:val="0"/>
        <w:adjustRightInd w:val="0"/>
        <w:spacing w:line="360" w:lineRule="exact"/>
        <w:ind w:right="1128"/>
        <w:rPr>
          <w:rFonts w:ascii="Arial" w:hAnsi="Arial" w:cs="Arial"/>
          <w:sz w:val="22"/>
          <w:szCs w:val="22"/>
        </w:rPr>
      </w:pPr>
      <w:r w:rsidRPr="00FB7672">
        <w:rPr>
          <w:rFonts w:ascii="Arial" w:hAnsi="Arial" w:cs="Arial"/>
          <w:sz w:val="22"/>
          <w:szCs w:val="22"/>
        </w:rPr>
        <w:t>E-Kaufmann: Cloudbasierte Anwendung für eine moderne, digitale Organisation</w:t>
      </w:r>
    </w:p>
    <w:p w14:paraId="7CAAAA88" w14:textId="48930760" w:rsidR="00FB7672" w:rsidRPr="00352443" w:rsidRDefault="00FB7672" w:rsidP="00AC757F">
      <w:pPr>
        <w:pStyle w:val="Listenabsatz"/>
        <w:widowControl w:val="0"/>
        <w:numPr>
          <w:ilvl w:val="0"/>
          <w:numId w:val="3"/>
        </w:numPr>
        <w:suppressAutoHyphens/>
        <w:autoSpaceDE w:val="0"/>
        <w:autoSpaceDN w:val="0"/>
        <w:adjustRightInd w:val="0"/>
        <w:spacing w:line="360" w:lineRule="exact"/>
        <w:ind w:right="1128"/>
        <w:rPr>
          <w:rFonts w:ascii="Arial" w:hAnsi="Arial" w:cs="Arial"/>
          <w:sz w:val="22"/>
          <w:szCs w:val="22"/>
        </w:rPr>
      </w:pPr>
      <w:proofErr w:type="spellStart"/>
      <w:r w:rsidRPr="00FB7672">
        <w:rPr>
          <w:rFonts w:ascii="Arial" w:hAnsi="Arial" w:cs="Arial"/>
          <w:sz w:val="22"/>
          <w:szCs w:val="22"/>
        </w:rPr>
        <w:t>HottS</w:t>
      </w:r>
      <w:r>
        <w:rPr>
          <w:rFonts w:ascii="Arial" w:hAnsi="Arial" w:cs="Arial"/>
          <w:sz w:val="22"/>
          <w:szCs w:val="22"/>
        </w:rPr>
        <w:t>can</w:t>
      </w:r>
      <w:proofErr w:type="spellEnd"/>
      <w:r w:rsidRPr="00FB7672">
        <w:rPr>
          <w:rFonts w:ascii="Arial" w:hAnsi="Arial" w:cs="Arial"/>
          <w:sz w:val="22"/>
          <w:szCs w:val="22"/>
        </w:rPr>
        <w:t xml:space="preserve">: Präzise und digitale Erfassung von </w:t>
      </w:r>
      <w:r>
        <w:rPr>
          <w:rFonts w:ascii="Arial" w:hAnsi="Arial" w:cs="Arial"/>
          <w:sz w:val="22"/>
          <w:szCs w:val="22"/>
        </w:rPr>
        <w:t>Räumen und Gebäuden</w:t>
      </w:r>
    </w:p>
    <w:sectPr w:rsidR="00FB7672" w:rsidRPr="00352443">
      <w:headerReference w:type="default" r:id="rId11"/>
      <w:footerReference w:type="first" r:id="rId12"/>
      <w:pgSz w:w="11906" w:h="16838" w:code="9"/>
      <w:pgMar w:top="1729" w:right="1134" w:bottom="1701" w:left="4105" w:header="1021" w:footer="709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5ACB7F" w14:textId="77777777" w:rsidR="003B3811" w:rsidRDefault="003B3811">
      <w:r>
        <w:separator/>
      </w:r>
    </w:p>
  </w:endnote>
  <w:endnote w:type="continuationSeparator" w:id="0">
    <w:p w14:paraId="01F14F8D" w14:textId="77777777" w:rsidR="003B3811" w:rsidRDefault="003B38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4E36CC" w14:textId="77777777" w:rsidR="00C1593C" w:rsidRDefault="00C1593C">
    <w:pPr>
      <w:pStyle w:val="Fuzeile"/>
      <w:tabs>
        <w:tab w:val="clear" w:pos="4536"/>
        <w:tab w:val="clear" w:pos="9072"/>
        <w:tab w:val="left" w:pos="144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632CFF" w14:textId="77777777" w:rsidR="003B3811" w:rsidRDefault="003B3811">
      <w:r>
        <w:separator/>
      </w:r>
    </w:p>
  </w:footnote>
  <w:footnote w:type="continuationSeparator" w:id="0">
    <w:p w14:paraId="5F29F242" w14:textId="77777777" w:rsidR="003B3811" w:rsidRDefault="003B38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89B56B" w14:textId="77777777" w:rsidR="00C1593C" w:rsidRDefault="00181638">
    <w:pPr>
      <w:pStyle w:val="Kopfzeile"/>
      <w:jc w:val="center"/>
      <w:rPr>
        <w:rFonts w:ascii="Arial" w:hAnsi="Arial" w:cs="Arial"/>
        <w:sz w:val="20"/>
        <w:szCs w:val="20"/>
      </w:rPr>
    </w:pPr>
    <w:r>
      <w:rPr>
        <w:rStyle w:val="Seitenzahl"/>
        <w:rFonts w:ascii="Arial" w:hAnsi="Arial" w:cs="Arial"/>
        <w:sz w:val="20"/>
        <w:szCs w:val="20"/>
      </w:rPr>
      <w:fldChar w:fldCharType="begin"/>
    </w:r>
    <w:r>
      <w:rPr>
        <w:rStyle w:val="Seitenzahl"/>
        <w:rFonts w:ascii="Arial" w:hAnsi="Arial" w:cs="Arial"/>
        <w:sz w:val="20"/>
        <w:szCs w:val="20"/>
      </w:rPr>
      <w:instrText xml:space="preserve"> PAGE </w:instrText>
    </w:r>
    <w:r>
      <w:rPr>
        <w:rStyle w:val="Seitenzahl"/>
        <w:rFonts w:ascii="Arial" w:hAnsi="Arial" w:cs="Arial"/>
        <w:sz w:val="20"/>
        <w:szCs w:val="20"/>
      </w:rPr>
      <w:fldChar w:fldCharType="separate"/>
    </w:r>
    <w:r>
      <w:rPr>
        <w:rStyle w:val="Seitenzahl"/>
        <w:rFonts w:ascii="Arial" w:hAnsi="Arial" w:cs="Arial"/>
        <w:noProof/>
        <w:sz w:val="20"/>
        <w:szCs w:val="20"/>
      </w:rPr>
      <w:t>- 2 -</w:t>
    </w:r>
    <w:r>
      <w:rPr>
        <w:rStyle w:val="Seitenzahl"/>
        <w:rFonts w:ascii="Arial" w:hAnsi="Arial" w:cs="Arial"/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151804"/>
    <w:multiLevelType w:val="multilevel"/>
    <w:tmpl w:val="EAE86A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07C7DC9"/>
    <w:multiLevelType w:val="hybridMultilevel"/>
    <w:tmpl w:val="B72464D0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FE20DC"/>
    <w:multiLevelType w:val="hybridMultilevel"/>
    <w:tmpl w:val="71B23844"/>
    <w:lvl w:ilvl="0" w:tplc="B4A47B3E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38104734">
    <w:abstractNumId w:val="2"/>
  </w:num>
  <w:num w:numId="2" w16cid:durableId="643587677">
    <w:abstractNumId w:val="0"/>
  </w:num>
  <w:num w:numId="3" w16cid:durableId="1425528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593C"/>
    <w:rsid w:val="000013D2"/>
    <w:rsid w:val="0000529A"/>
    <w:rsid w:val="000124BE"/>
    <w:rsid w:val="00015337"/>
    <w:rsid w:val="00015F7A"/>
    <w:rsid w:val="00022711"/>
    <w:rsid w:val="00050EB1"/>
    <w:rsid w:val="000609F4"/>
    <w:rsid w:val="00083754"/>
    <w:rsid w:val="00096193"/>
    <w:rsid w:val="000B777F"/>
    <w:rsid w:val="000E2E8E"/>
    <w:rsid w:val="00115644"/>
    <w:rsid w:val="001360F0"/>
    <w:rsid w:val="0014185A"/>
    <w:rsid w:val="00141BB4"/>
    <w:rsid w:val="00162413"/>
    <w:rsid w:val="00166FF8"/>
    <w:rsid w:val="00181638"/>
    <w:rsid w:val="001C3522"/>
    <w:rsid w:val="001D1BE1"/>
    <w:rsid w:val="001E45A4"/>
    <w:rsid w:val="001F339C"/>
    <w:rsid w:val="00211FC8"/>
    <w:rsid w:val="002148A7"/>
    <w:rsid w:val="00226C79"/>
    <w:rsid w:val="002327B9"/>
    <w:rsid w:val="0023355D"/>
    <w:rsid w:val="00256790"/>
    <w:rsid w:val="00257A50"/>
    <w:rsid w:val="0026081A"/>
    <w:rsid w:val="002611C3"/>
    <w:rsid w:val="00266BD9"/>
    <w:rsid w:val="002713C4"/>
    <w:rsid w:val="002B431B"/>
    <w:rsid w:val="002C2513"/>
    <w:rsid w:val="002D1C18"/>
    <w:rsid w:val="002D3351"/>
    <w:rsid w:val="002D4FF8"/>
    <w:rsid w:val="00303B9F"/>
    <w:rsid w:val="00310E94"/>
    <w:rsid w:val="00343539"/>
    <w:rsid w:val="00352443"/>
    <w:rsid w:val="00372A89"/>
    <w:rsid w:val="00376667"/>
    <w:rsid w:val="00377035"/>
    <w:rsid w:val="003A1873"/>
    <w:rsid w:val="003A2167"/>
    <w:rsid w:val="003A418E"/>
    <w:rsid w:val="003B3811"/>
    <w:rsid w:val="003E5878"/>
    <w:rsid w:val="003F5DA8"/>
    <w:rsid w:val="004146A5"/>
    <w:rsid w:val="00430A94"/>
    <w:rsid w:val="0044255D"/>
    <w:rsid w:val="00450CE9"/>
    <w:rsid w:val="00465EB1"/>
    <w:rsid w:val="00471A08"/>
    <w:rsid w:val="00476536"/>
    <w:rsid w:val="0048134B"/>
    <w:rsid w:val="00483914"/>
    <w:rsid w:val="004928A5"/>
    <w:rsid w:val="0049412D"/>
    <w:rsid w:val="00495668"/>
    <w:rsid w:val="004A2B21"/>
    <w:rsid w:val="004B6228"/>
    <w:rsid w:val="004F6081"/>
    <w:rsid w:val="00507139"/>
    <w:rsid w:val="0050787E"/>
    <w:rsid w:val="00534DEC"/>
    <w:rsid w:val="005362D7"/>
    <w:rsid w:val="005928AB"/>
    <w:rsid w:val="00592D14"/>
    <w:rsid w:val="005A1C2C"/>
    <w:rsid w:val="005A601D"/>
    <w:rsid w:val="005A7286"/>
    <w:rsid w:val="005E6E50"/>
    <w:rsid w:val="00601247"/>
    <w:rsid w:val="0061415B"/>
    <w:rsid w:val="0061623F"/>
    <w:rsid w:val="006248D2"/>
    <w:rsid w:val="00652BE1"/>
    <w:rsid w:val="00692195"/>
    <w:rsid w:val="00692DA7"/>
    <w:rsid w:val="006B389D"/>
    <w:rsid w:val="006E5978"/>
    <w:rsid w:val="00700D8D"/>
    <w:rsid w:val="00724D39"/>
    <w:rsid w:val="0074275D"/>
    <w:rsid w:val="00745624"/>
    <w:rsid w:val="00745664"/>
    <w:rsid w:val="007835D5"/>
    <w:rsid w:val="00795A73"/>
    <w:rsid w:val="007B268A"/>
    <w:rsid w:val="007B3653"/>
    <w:rsid w:val="007B5806"/>
    <w:rsid w:val="00822003"/>
    <w:rsid w:val="008442EF"/>
    <w:rsid w:val="00860969"/>
    <w:rsid w:val="00867BA2"/>
    <w:rsid w:val="00871C26"/>
    <w:rsid w:val="00876DB6"/>
    <w:rsid w:val="00882368"/>
    <w:rsid w:val="008A7084"/>
    <w:rsid w:val="008D298D"/>
    <w:rsid w:val="008D51DC"/>
    <w:rsid w:val="008D7F85"/>
    <w:rsid w:val="008F4E88"/>
    <w:rsid w:val="00945346"/>
    <w:rsid w:val="009526A0"/>
    <w:rsid w:val="00960575"/>
    <w:rsid w:val="0099533B"/>
    <w:rsid w:val="009A4946"/>
    <w:rsid w:val="009B251D"/>
    <w:rsid w:val="00A118CC"/>
    <w:rsid w:val="00A21FA6"/>
    <w:rsid w:val="00A3628C"/>
    <w:rsid w:val="00A50725"/>
    <w:rsid w:val="00AC679F"/>
    <w:rsid w:val="00AC757F"/>
    <w:rsid w:val="00AE5025"/>
    <w:rsid w:val="00AF6EC5"/>
    <w:rsid w:val="00B017A4"/>
    <w:rsid w:val="00B11456"/>
    <w:rsid w:val="00B169C7"/>
    <w:rsid w:val="00B176E3"/>
    <w:rsid w:val="00B342F4"/>
    <w:rsid w:val="00B47BA7"/>
    <w:rsid w:val="00B7465C"/>
    <w:rsid w:val="00B801BC"/>
    <w:rsid w:val="00BA5921"/>
    <w:rsid w:val="00BB4241"/>
    <w:rsid w:val="00BC665E"/>
    <w:rsid w:val="00C1213E"/>
    <w:rsid w:val="00C1593C"/>
    <w:rsid w:val="00C3792B"/>
    <w:rsid w:val="00C4304D"/>
    <w:rsid w:val="00C57990"/>
    <w:rsid w:val="00C57A88"/>
    <w:rsid w:val="00C6280F"/>
    <w:rsid w:val="00C66D66"/>
    <w:rsid w:val="00CA03DB"/>
    <w:rsid w:val="00CB4634"/>
    <w:rsid w:val="00CD677E"/>
    <w:rsid w:val="00D01B88"/>
    <w:rsid w:val="00D04A7E"/>
    <w:rsid w:val="00D3340F"/>
    <w:rsid w:val="00D71FEF"/>
    <w:rsid w:val="00D74FDE"/>
    <w:rsid w:val="00D91FDF"/>
    <w:rsid w:val="00DB049E"/>
    <w:rsid w:val="00DE5573"/>
    <w:rsid w:val="00DF18D2"/>
    <w:rsid w:val="00E16D93"/>
    <w:rsid w:val="00E414D7"/>
    <w:rsid w:val="00E459AB"/>
    <w:rsid w:val="00E4616E"/>
    <w:rsid w:val="00E51979"/>
    <w:rsid w:val="00E53D95"/>
    <w:rsid w:val="00E77967"/>
    <w:rsid w:val="00E94BCD"/>
    <w:rsid w:val="00EA5D08"/>
    <w:rsid w:val="00EB6945"/>
    <w:rsid w:val="00EC74CC"/>
    <w:rsid w:val="00ED7290"/>
    <w:rsid w:val="00EE32CE"/>
    <w:rsid w:val="00EF4F53"/>
    <w:rsid w:val="00EF54C8"/>
    <w:rsid w:val="00EF76C7"/>
    <w:rsid w:val="00F33524"/>
    <w:rsid w:val="00F45A87"/>
    <w:rsid w:val="00F54A92"/>
    <w:rsid w:val="00F60F51"/>
    <w:rsid w:val="00F63CA4"/>
    <w:rsid w:val="00F63CA5"/>
    <w:rsid w:val="00F6511D"/>
    <w:rsid w:val="00F735C1"/>
    <w:rsid w:val="00F73928"/>
    <w:rsid w:val="00F8010F"/>
    <w:rsid w:val="00F94550"/>
    <w:rsid w:val="00F962C8"/>
    <w:rsid w:val="00FA2470"/>
    <w:rsid w:val="00FB7672"/>
    <w:rsid w:val="00FC5679"/>
    <w:rsid w:val="00FD3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FAC299"/>
  <w15:chartTrackingRefBased/>
  <w15:docId w15:val="{32874C0B-B9A5-43E2-A4C1-F26C1DCD9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Times New Roman" w:eastAsia="Times New Roman" w:hAnsi="Times New Roman"/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pPr>
      <w:keepNext/>
      <w:outlineLvl w:val="0"/>
    </w:pPr>
    <w:rPr>
      <w:rFonts w:ascii="Verdana" w:hAnsi="Verdana"/>
      <w:b/>
      <w:bCs/>
      <w:u w:val="single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465EB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465EB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Textkrper">
    <w:name w:val="Body Text"/>
    <w:basedOn w:val="Standard"/>
    <w:link w:val="TextkrperZchn"/>
    <w:pPr>
      <w:spacing w:line="360" w:lineRule="exact"/>
      <w:jc w:val="both"/>
    </w:pPr>
    <w:rPr>
      <w:rFonts w:ascii="Verdana" w:hAnsi="Verdana"/>
    </w:rPr>
  </w:style>
  <w:style w:type="character" w:customStyle="1" w:styleId="TextkrperZchn">
    <w:name w:val="Textkörper Zchn"/>
    <w:link w:val="Textkrper"/>
    <w:rPr>
      <w:rFonts w:ascii="Verdana" w:eastAsia="Times New Roman" w:hAnsi="Verdana" w:cs="Times New Roman"/>
      <w:sz w:val="24"/>
      <w:szCs w:val="24"/>
      <w:lang w:eastAsia="de-DE"/>
    </w:rPr>
  </w:style>
  <w:style w:type="paragraph" w:styleId="Sprechblasentext">
    <w:name w:val="Balloon Text"/>
    <w:basedOn w:val="Standard"/>
    <w:link w:val="SprechblasentextZchn"/>
    <w:semiHidden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semiHidden/>
    <w:rPr>
      <w:rFonts w:ascii="Tahoma" w:eastAsia="Times New Roman" w:hAnsi="Tahoma" w:cs="Tahoma"/>
      <w:sz w:val="16"/>
      <w:szCs w:val="16"/>
      <w:lang w:eastAsia="de-DE"/>
    </w:rPr>
  </w:style>
  <w:style w:type="paragraph" w:styleId="Kopfzeile">
    <w:name w:val="header"/>
    <w:basedOn w:val="Standard"/>
    <w:link w:val="KopfzeileZchn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styleId="Seitenzahl">
    <w:name w:val="page number"/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Pr>
      <w:rFonts w:ascii="Times New Roman" w:eastAsia="Times New Roman" w:hAnsi="Times New Roman"/>
      <w:sz w:val="24"/>
      <w:szCs w:val="24"/>
    </w:rPr>
  </w:style>
  <w:style w:type="character" w:customStyle="1" w:styleId="berschrift1Zchn">
    <w:name w:val="Überschrift 1 Zchn"/>
    <w:basedOn w:val="Absatz-Standardschriftart"/>
    <w:link w:val="berschrift1"/>
    <w:rPr>
      <w:rFonts w:ascii="Verdana" w:eastAsia="Times New Roman" w:hAnsi="Verdana"/>
      <w:b/>
      <w:bCs/>
      <w:sz w:val="24"/>
      <w:szCs w:val="24"/>
      <w:u w:val="single"/>
    </w:rPr>
  </w:style>
  <w:style w:type="paragraph" w:styleId="StandardWeb">
    <w:name w:val="Normal (Web)"/>
    <w:basedOn w:val="Standard"/>
    <w:uiPriority w:val="99"/>
    <w:unhideWhenUsed/>
    <w:pPr>
      <w:spacing w:before="100" w:beforeAutospacing="1" w:after="100" w:afterAutospacing="1"/>
    </w:pPr>
  </w:style>
  <w:style w:type="paragraph" w:customStyle="1" w:styleId="AbsatzFett">
    <w:name w:val="Absatz Fett"/>
    <w:rsid w:val="00465EB1"/>
    <w:pPr>
      <w:keepNext/>
      <w:widowControl w:val="0"/>
      <w:spacing w:before="240" w:after="80"/>
    </w:pPr>
    <w:rPr>
      <w:rFonts w:ascii="Courier" w:eastAsia="Times New Roman" w:hAnsi="Courier"/>
      <w:b/>
      <w:snapToGrid w:val="0"/>
      <w:sz w:val="24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465EB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465EB1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6B389D"/>
    <w:rPr>
      <w:color w:val="605E5C"/>
      <w:shd w:val="clear" w:color="auto" w:fill="E1DFDD"/>
    </w:rPr>
  </w:style>
  <w:style w:type="paragraph" w:styleId="Listenabsatz">
    <w:name w:val="List Paragraph"/>
    <w:basedOn w:val="Standard"/>
    <w:uiPriority w:val="34"/>
    <w:qFormat/>
    <w:rsid w:val="00E461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92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8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2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359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65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1929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8779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4406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0675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027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9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87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305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421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8614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6060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53903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69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5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utlook.office.com/book/Messekalender@hottgenroth.de/s/zXzWigQH_0aHgNw6UpnXmw2?ismsaljsauthenabled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www.hottgenroth.d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hottgenroth.d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722</Words>
  <Characters>4549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„Lüftungskonzept DIN 1946-6“ von Hottgenroth/ETU Software</vt:lpstr>
    </vt:vector>
  </TitlesOfParts>
  <Company>HSETU</Company>
  <LinksUpToDate>false</LinksUpToDate>
  <CharactersWithSpaces>5261</CharactersWithSpaces>
  <SharedDoc>false</SharedDoc>
  <HLinks>
    <vt:vector size="18" baseType="variant">
      <vt:variant>
        <vt:i4>7340143</vt:i4>
      </vt:variant>
      <vt:variant>
        <vt:i4>6</vt:i4>
      </vt:variant>
      <vt:variant>
        <vt:i4>0</vt:i4>
      </vt:variant>
      <vt:variant>
        <vt:i4>5</vt:i4>
      </vt:variant>
      <vt:variant>
        <vt:lpwstr>http://www.etu.de/</vt:lpwstr>
      </vt:variant>
      <vt:variant>
        <vt:lpwstr/>
      </vt:variant>
      <vt:variant>
        <vt:i4>7471203</vt:i4>
      </vt:variant>
      <vt:variant>
        <vt:i4>3</vt:i4>
      </vt:variant>
      <vt:variant>
        <vt:i4>0</vt:i4>
      </vt:variant>
      <vt:variant>
        <vt:i4>5</vt:i4>
      </vt:variant>
      <vt:variant>
        <vt:lpwstr>http://www.hottgenroth.de/</vt:lpwstr>
      </vt:variant>
      <vt:variant>
        <vt:lpwstr/>
      </vt:variant>
      <vt:variant>
        <vt:i4>917540</vt:i4>
      </vt:variant>
      <vt:variant>
        <vt:i4>0</vt:i4>
      </vt:variant>
      <vt:variant>
        <vt:i4>0</vt:i4>
      </vt:variant>
      <vt:variant>
        <vt:i4>5</vt:i4>
      </vt:variant>
      <vt:variant>
        <vt:lpwstr>mailto:vertrieb@etu.de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„Lüftungskonzept DIN 1946-6“ von Hottgenroth/ETU Software</dc:title>
  <dc:subject/>
  <dc:creator>Guido Wollenberg</dc:creator>
  <cp:keywords>Presseinfo</cp:keywords>
  <cp:lastModifiedBy>Thea Konrad</cp:lastModifiedBy>
  <cp:revision>23</cp:revision>
  <cp:lastPrinted>2020-06-19T12:45:00Z</cp:lastPrinted>
  <dcterms:created xsi:type="dcterms:W3CDTF">2025-01-21T14:26:00Z</dcterms:created>
  <dcterms:modified xsi:type="dcterms:W3CDTF">2026-01-19T09:12:00Z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-1877057086</vt:i4>
  </property>
</Properties>
</file>